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175D0F90" w14:textId="7D75E46F" w:rsidR="00E66A52" w:rsidRPr="004F1260" w:rsidRDefault="0041689F" w:rsidP="00E66A52">
            <w:pPr>
              <w:jc w:val="center"/>
              <w:rPr>
                <w:rFonts w:ascii="Roboto" w:hAnsi="Roboto" w:cs="Arial"/>
                <w:sz w:val="48"/>
                <w:szCs w:val="48"/>
              </w:rPr>
            </w:pPr>
            <w:r>
              <w:rPr>
                <w:rFonts w:ascii="Roboto" w:hAnsi="Roboto" w:cs="Arial"/>
                <w:sz w:val="48"/>
                <w:szCs w:val="48"/>
              </w:rPr>
              <w:t>DELIBERATION INSTITUANT L’INDEMNITE HORAIRE POUR TRAVAUX SUPPLEMENTAIRES</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141A2F12" w:rsidR="00924236" w:rsidRPr="00BF6806" w:rsidRDefault="0041689F" w:rsidP="00924236">
                                  <w:pPr>
                                    <w:jc w:val="center"/>
                                    <w:rPr>
                                      <w:rFonts w:ascii="Roboto" w:hAnsi="Roboto" w:cs="Arial"/>
                                      <w:color w:val="000000" w:themeColor="text1"/>
                                    </w:rPr>
                                  </w:pPr>
                                  <w:r>
                                    <w:rPr>
                                      <w:rFonts w:ascii="Roboto" w:hAnsi="Roboto" w:cs="Arial"/>
                                      <w:color w:val="000000" w:themeColor="text1"/>
                                    </w:rPr>
                                    <w:t>MODELE 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141A2F12" w:rsidR="00924236" w:rsidRPr="00BF6806" w:rsidRDefault="0041689F" w:rsidP="00924236">
                            <w:pPr>
                              <w:jc w:val="center"/>
                              <w:rPr>
                                <w:rFonts w:ascii="Roboto" w:hAnsi="Roboto" w:cs="Arial"/>
                                <w:color w:val="000000" w:themeColor="text1"/>
                              </w:rPr>
                            </w:pPr>
                            <w:r>
                              <w:rPr>
                                <w:rFonts w:ascii="Roboto" w:hAnsi="Roboto" w:cs="Arial"/>
                                <w:color w:val="000000" w:themeColor="text1"/>
                              </w:rPr>
                              <w:t>MODELE DELIBERATION</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4B8C88D3" w:rsidR="008B1A4B" w:rsidRPr="00BF6806" w:rsidRDefault="008B1A4B">
      <w:pPr>
        <w:rPr>
          <w:rFonts w:ascii="Roboto" w:hAnsi="Roboto"/>
        </w:rPr>
      </w:pPr>
    </w:p>
    <w:p w14:paraId="4CFA3162" w14:textId="77777777" w:rsidR="00E66A52" w:rsidRPr="00BF6806" w:rsidRDefault="00E66A52">
      <w:pPr>
        <w:rPr>
          <w:rFonts w:ascii="Roboto" w:hAnsi="Roboto"/>
        </w:rPr>
      </w:pPr>
    </w:p>
    <w:p w14:paraId="5CA5071D" w14:textId="77777777" w:rsidR="0041689F" w:rsidRPr="0041689F" w:rsidRDefault="0041689F" w:rsidP="0041689F">
      <w:pPr>
        <w:pStyle w:val="VuConsidrant"/>
        <w:spacing w:after="0"/>
        <w:rPr>
          <w:rFonts w:ascii="Roboto" w:hAnsi="Roboto"/>
          <w:b/>
          <w:sz w:val="24"/>
          <w:szCs w:val="24"/>
        </w:rPr>
      </w:pPr>
      <w:r w:rsidRPr="0041689F">
        <w:rPr>
          <w:rFonts w:ascii="Roboto" w:hAnsi="Roboto"/>
          <w:b/>
          <w:sz w:val="24"/>
          <w:szCs w:val="24"/>
        </w:rPr>
        <w:t>Le Maire (ou le Président) rappelle à l’assemblée :</w:t>
      </w:r>
    </w:p>
    <w:p w14:paraId="420EB8BB" w14:textId="77777777" w:rsidR="0041689F" w:rsidRPr="0041689F" w:rsidRDefault="0041689F" w:rsidP="0041689F">
      <w:pPr>
        <w:pStyle w:val="VuConsidrant"/>
        <w:spacing w:after="0"/>
        <w:rPr>
          <w:rFonts w:ascii="Roboto" w:hAnsi="Roboto"/>
          <w:sz w:val="24"/>
          <w:szCs w:val="24"/>
        </w:rPr>
      </w:pPr>
    </w:p>
    <w:p w14:paraId="49D1A591"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Vu le code général des collectivités territoriales,</w:t>
      </w:r>
    </w:p>
    <w:p w14:paraId="0AC97808" w14:textId="77777777" w:rsidR="0041689F" w:rsidRPr="0041689F" w:rsidRDefault="0041689F" w:rsidP="0041689F">
      <w:pPr>
        <w:tabs>
          <w:tab w:val="left" w:pos="1843"/>
          <w:tab w:val="center" w:pos="6804"/>
        </w:tabs>
        <w:jc w:val="both"/>
        <w:rPr>
          <w:rFonts w:ascii="Roboto" w:hAnsi="Roboto" w:cs="Arial"/>
          <w:bCs/>
          <w:sz w:val="24"/>
          <w:szCs w:val="24"/>
        </w:rPr>
      </w:pPr>
    </w:p>
    <w:p w14:paraId="6E0E81E7"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 xml:space="preserve">Vu le code général de la fonction publique, </w:t>
      </w:r>
    </w:p>
    <w:p w14:paraId="3D9A6132" w14:textId="77777777" w:rsidR="0041689F" w:rsidRPr="0041689F" w:rsidRDefault="0041689F" w:rsidP="0041689F">
      <w:pPr>
        <w:spacing w:before="100" w:beforeAutospacing="1" w:after="100" w:afterAutospacing="1"/>
        <w:outlineLvl w:val="0"/>
        <w:rPr>
          <w:rFonts w:ascii="Roboto" w:hAnsi="Roboto" w:cs="Calibri"/>
          <w:bCs/>
          <w:kern w:val="36"/>
          <w:sz w:val="24"/>
          <w:szCs w:val="24"/>
        </w:rPr>
      </w:pPr>
      <w:r w:rsidRPr="0041689F">
        <w:rPr>
          <w:rFonts w:ascii="Roboto" w:hAnsi="Roboto" w:cs="Calibri"/>
          <w:bCs/>
          <w:kern w:val="36"/>
          <w:sz w:val="24"/>
          <w:szCs w:val="24"/>
        </w:rPr>
        <w:t>Vu le décret n°91-875 du 6 septembre 1991 pris pour l'application du premier alinéa de l'article 88 de la loi du 26 janvier 1984 portant dispositions statutaires relatives à la fonction publique territoriale,</w:t>
      </w:r>
    </w:p>
    <w:p w14:paraId="668F92C1" w14:textId="77777777" w:rsidR="0041689F" w:rsidRPr="0041689F" w:rsidRDefault="0041689F" w:rsidP="0041689F">
      <w:pPr>
        <w:spacing w:before="100" w:beforeAutospacing="1" w:after="100" w:afterAutospacing="1"/>
        <w:outlineLvl w:val="0"/>
        <w:rPr>
          <w:rFonts w:ascii="Roboto" w:hAnsi="Roboto" w:cs="Arial"/>
          <w:bCs/>
          <w:sz w:val="24"/>
          <w:szCs w:val="24"/>
        </w:rPr>
      </w:pPr>
      <w:r w:rsidRPr="0041689F">
        <w:rPr>
          <w:rFonts w:ascii="Roboto" w:hAnsi="Roboto" w:cs="Arial"/>
          <w:bCs/>
          <w:sz w:val="24"/>
          <w:szCs w:val="24"/>
        </w:rPr>
        <w:t>Vu le décret n° 2000-815 du 25 août 2000 relatif à l’aménagement et à la réduction du temps de travail dans la fonction publique de l’Etat,</w:t>
      </w:r>
    </w:p>
    <w:p w14:paraId="2CFDDCEB" w14:textId="77777777" w:rsidR="0041689F" w:rsidRPr="0041689F" w:rsidRDefault="0041689F" w:rsidP="0041689F">
      <w:pPr>
        <w:tabs>
          <w:tab w:val="center" w:pos="6804"/>
        </w:tabs>
        <w:jc w:val="both"/>
        <w:rPr>
          <w:rFonts w:ascii="Roboto" w:hAnsi="Roboto" w:cs="Arial"/>
          <w:bCs/>
          <w:sz w:val="24"/>
          <w:szCs w:val="24"/>
        </w:rPr>
      </w:pPr>
      <w:r w:rsidRPr="0041689F">
        <w:rPr>
          <w:rFonts w:ascii="Roboto" w:hAnsi="Roboto" w:cs="Arial"/>
          <w:bCs/>
          <w:sz w:val="24"/>
          <w:szCs w:val="24"/>
        </w:rPr>
        <w:t>Vu le décret n° 2001-623 du 12 juillet 2001 pris pour l’application de l’article 7-1 de la loi n° 84-53 du 26 janvier 1984,</w:t>
      </w:r>
    </w:p>
    <w:p w14:paraId="2210DEF1" w14:textId="77777777" w:rsidR="0041689F" w:rsidRPr="0041689F" w:rsidRDefault="0041689F" w:rsidP="0041689F">
      <w:pPr>
        <w:tabs>
          <w:tab w:val="center" w:pos="6804"/>
        </w:tabs>
        <w:jc w:val="both"/>
        <w:rPr>
          <w:rFonts w:ascii="Roboto" w:hAnsi="Roboto" w:cs="Arial"/>
          <w:bCs/>
          <w:sz w:val="24"/>
          <w:szCs w:val="24"/>
        </w:rPr>
      </w:pPr>
    </w:p>
    <w:p w14:paraId="7C458689"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Vu le décret n° 2002-60 du 14 janvier 2002 relatif aux indemnités horaires pour travaux supplémentaires,</w:t>
      </w:r>
    </w:p>
    <w:p w14:paraId="12471E73" w14:textId="77777777" w:rsidR="0041689F" w:rsidRPr="0041689F" w:rsidRDefault="0041689F" w:rsidP="0041689F">
      <w:pPr>
        <w:tabs>
          <w:tab w:val="left" w:pos="1843"/>
          <w:tab w:val="center" w:pos="6804"/>
        </w:tabs>
        <w:jc w:val="both"/>
        <w:rPr>
          <w:rFonts w:ascii="Roboto" w:hAnsi="Roboto" w:cs="Arial"/>
          <w:bCs/>
          <w:sz w:val="24"/>
          <w:szCs w:val="24"/>
        </w:rPr>
      </w:pPr>
    </w:p>
    <w:p w14:paraId="4D67CBD0"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 xml:space="preserve">Vu l’avis du comité social territorial en date du…….. </w:t>
      </w:r>
    </w:p>
    <w:p w14:paraId="2202C095" w14:textId="77777777" w:rsidR="0041689F" w:rsidRPr="0041689F" w:rsidRDefault="0041689F" w:rsidP="0041689F">
      <w:pPr>
        <w:pStyle w:val="VuConsidrant"/>
        <w:spacing w:after="0"/>
        <w:rPr>
          <w:rFonts w:ascii="Roboto" w:hAnsi="Roboto"/>
          <w:sz w:val="24"/>
          <w:szCs w:val="24"/>
        </w:rPr>
      </w:pPr>
    </w:p>
    <w:p w14:paraId="5EA2DBAF" w14:textId="77777777" w:rsidR="0041689F" w:rsidRPr="0041689F" w:rsidRDefault="0041689F" w:rsidP="0041689F">
      <w:pPr>
        <w:pStyle w:val="VuConsidrant"/>
        <w:spacing w:after="0"/>
        <w:rPr>
          <w:rFonts w:ascii="Roboto" w:hAnsi="Roboto"/>
          <w:sz w:val="24"/>
          <w:szCs w:val="24"/>
        </w:rPr>
      </w:pPr>
    </w:p>
    <w:p w14:paraId="28D2B453" w14:textId="77777777" w:rsidR="0041689F" w:rsidRPr="0041689F" w:rsidRDefault="0041689F" w:rsidP="0041689F">
      <w:pPr>
        <w:pStyle w:val="VuConsidrant"/>
        <w:spacing w:after="0"/>
        <w:rPr>
          <w:rFonts w:ascii="Roboto" w:hAnsi="Roboto"/>
          <w:sz w:val="24"/>
          <w:szCs w:val="24"/>
        </w:rPr>
      </w:pPr>
      <w:r w:rsidRPr="0041689F">
        <w:rPr>
          <w:rFonts w:ascii="Roboto" w:hAnsi="Roboto"/>
          <w:sz w:val="24"/>
          <w:szCs w:val="24"/>
        </w:rPr>
        <w:t xml:space="preserve">M……………… </w:t>
      </w:r>
      <w:r w:rsidRPr="0041689F">
        <w:rPr>
          <w:rFonts w:ascii="Roboto" w:hAnsi="Roboto"/>
          <w:i/>
          <w:sz w:val="24"/>
          <w:szCs w:val="24"/>
        </w:rPr>
        <w:t>(autorité territoriale)</w:t>
      </w:r>
      <w:r w:rsidRPr="0041689F">
        <w:rPr>
          <w:rFonts w:ascii="Roboto" w:hAnsi="Roboto"/>
          <w:sz w:val="24"/>
          <w:szCs w:val="24"/>
        </w:rPr>
        <w:t xml:space="preserve"> expose au ………………. </w:t>
      </w:r>
      <w:r w:rsidRPr="0041689F">
        <w:rPr>
          <w:rFonts w:ascii="Roboto" w:hAnsi="Roboto"/>
          <w:i/>
          <w:sz w:val="24"/>
          <w:szCs w:val="24"/>
        </w:rPr>
        <w:t xml:space="preserve">(organe délibérant) </w:t>
      </w:r>
      <w:r w:rsidRPr="0041689F">
        <w:rPr>
          <w:rFonts w:ascii="Roboto" w:hAnsi="Roboto"/>
          <w:sz w:val="24"/>
          <w:szCs w:val="24"/>
        </w:rPr>
        <w:t>que la compensation des heures supplémentaires peut être réalisée, en tout ou partie, sous la forme d’un repos compensateur. A défaut de compensation sous forme d’un repos compensateur, les heures supplémentaires accomplis sont indemnisées. Néanmoins, seuls les agents relevant aux grades de catégorie C et B peuvent prétendre au versement d’indemnité horaire pour travaux supplémentaires.</w:t>
      </w:r>
    </w:p>
    <w:p w14:paraId="365C8F46" w14:textId="625D67D2" w:rsidR="0041689F" w:rsidRPr="0041689F" w:rsidRDefault="00440078" w:rsidP="0041689F">
      <w:pPr>
        <w:pStyle w:val="VuConsidrant"/>
        <w:spacing w:after="0"/>
        <w:rPr>
          <w:rFonts w:ascii="Roboto" w:hAnsi="Roboto"/>
          <w:sz w:val="24"/>
          <w:szCs w:val="24"/>
        </w:rPr>
      </w:pPr>
      <w:r>
        <w:rPr>
          <w:rFonts w:ascii="Roboto" w:hAnsi="Roboto"/>
          <w:sz w:val="24"/>
          <w:szCs w:val="24"/>
        </w:rPr>
        <w:t>(hors cadre d’emplois des assistants d’enseignement artistique).</w:t>
      </w:r>
    </w:p>
    <w:p w14:paraId="17F12FF9"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Il rappelle que les heures supplémentaires ne peuvent excéder 25 heures par mois, sauf lors de circonstances exceptionnelles, sur décision de l’autorité territoriale, le comité social territoriale en étant immédiatement informé.</w:t>
      </w:r>
    </w:p>
    <w:p w14:paraId="1ACA1822" w14:textId="77777777" w:rsidR="0041689F" w:rsidRPr="0041689F" w:rsidRDefault="0041689F" w:rsidP="0041689F">
      <w:pPr>
        <w:pStyle w:val="VuConsidrant"/>
        <w:spacing w:after="0"/>
        <w:rPr>
          <w:rFonts w:ascii="Roboto" w:hAnsi="Roboto"/>
          <w:sz w:val="24"/>
          <w:szCs w:val="24"/>
        </w:rPr>
      </w:pPr>
    </w:p>
    <w:p w14:paraId="560C9E6D" w14:textId="77777777" w:rsidR="0041689F" w:rsidRPr="0041689F" w:rsidRDefault="0041689F" w:rsidP="0041689F">
      <w:pPr>
        <w:pStyle w:val="VuConsidrant"/>
        <w:spacing w:after="0"/>
        <w:rPr>
          <w:rFonts w:ascii="Roboto" w:hAnsi="Roboto"/>
          <w:sz w:val="24"/>
          <w:szCs w:val="24"/>
        </w:rPr>
      </w:pPr>
    </w:p>
    <w:p w14:paraId="3D269FC7" w14:textId="77777777" w:rsidR="0041689F" w:rsidRPr="0041689F" w:rsidRDefault="0041689F" w:rsidP="0041689F">
      <w:pPr>
        <w:pStyle w:val="arrte"/>
        <w:spacing w:before="0" w:after="0"/>
        <w:jc w:val="both"/>
        <w:rPr>
          <w:rFonts w:ascii="Roboto" w:hAnsi="Roboto"/>
          <w:spacing w:val="0"/>
          <w:sz w:val="24"/>
          <w:szCs w:val="24"/>
        </w:rPr>
      </w:pPr>
      <w:r w:rsidRPr="0041689F">
        <w:rPr>
          <w:rFonts w:ascii="Roboto" w:hAnsi="Roboto"/>
          <w:spacing w:val="0"/>
          <w:sz w:val="24"/>
          <w:szCs w:val="24"/>
        </w:rPr>
        <w:lastRenderedPageBreak/>
        <w:t>LE CONSEIL MUNICIPAL (OU CONSEIL D’ADMINISTRATION OU COMMUNAUTAIRE), après en avoir délibéré,</w:t>
      </w:r>
    </w:p>
    <w:p w14:paraId="0DCC6984" w14:textId="77777777" w:rsidR="0041689F" w:rsidRPr="0041689F" w:rsidRDefault="0041689F" w:rsidP="0041689F">
      <w:pPr>
        <w:pStyle w:val="arrte"/>
        <w:spacing w:before="0" w:after="0"/>
        <w:jc w:val="both"/>
        <w:rPr>
          <w:rFonts w:ascii="Roboto" w:hAnsi="Roboto"/>
          <w:spacing w:val="0"/>
          <w:sz w:val="24"/>
          <w:szCs w:val="24"/>
        </w:rPr>
      </w:pPr>
    </w:p>
    <w:p w14:paraId="75F8A6B8" w14:textId="77777777" w:rsidR="0041689F" w:rsidRPr="0041689F" w:rsidRDefault="0041689F" w:rsidP="0041689F">
      <w:pPr>
        <w:pStyle w:val="arrte"/>
        <w:spacing w:before="0" w:after="0"/>
        <w:jc w:val="left"/>
        <w:rPr>
          <w:rFonts w:ascii="Roboto" w:hAnsi="Roboto"/>
          <w:spacing w:val="0"/>
          <w:sz w:val="24"/>
          <w:szCs w:val="24"/>
        </w:rPr>
      </w:pPr>
      <w:r w:rsidRPr="0041689F">
        <w:rPr>
          <w:rFonts w:ascii="Roboto" w:hAnsi="Roboto"/>
          <w:spacing w:val="0"/>
          <w:sz w:val="24"/>
          <w:szCs w:val="24"/>
        </w:rPr>
        <w:t>DECIDE :</w:t>
      </w:r>
    </w:p>
    <w:p w14:paraId="5F20E2C5" w14:textId="77777777" w:rsidR="0041689F" w:rsidRPr="0041689F" w:rsidRDefault="0041689F" w:rsidP="0041689F">
      <w:pPr>
        <w:pStyle w:val="arrte"/>
        <w:spacing w:before="0" w:after="0"/>
        <w:jc w:val="left"/>
        <w:rPr>
          <w:rFonts w:ascii="Roboto" w:hAnsi="Roboto"/>
          <w:b w:val="0"/>
          <w:bCs w:val="0"/>
          <w:spacing w:val="0"/>
          <w:sz w:val="24"/>
          <w:szCs w:val="24"/>
        </w:rPr>
      </w:pPr>
    </w:p>
    <w:p w14:paraId="0BA87836" w14:textId="77777777" w:rsidR="0041689F" w:rsidRPr="0041689F" w:rsidRDefault="0041689F" w:rsidP="0041689F">
      <w:pPr>
        <w:pStyle w:val="Paragraphedeliste"/>
        <w:numPr>
          <w:ilvl w:val="0"/>
          <w:numId w:val="1"/>
        </w:numPr>
        <w:tabs>
          <w:tab w:val="left" w:pos="709"/>
          <w:tab w:val="center" w:pos="6804"/>
        </w:tabs>
        <w:ind w:left="0" w:firstLine="405"/>
        <w:jc w:val="both"/>
        <w:rPr>
          <w:rFonts w:ascii="Roboto" w:hAnsi="Roboto" w:cs="Arial"/>
          <w:bCs/>
          <w:sz w:val="24"/>
          <w:szCs w:val="24"/>
        </w:rPr>
      </w:pPr>
      <w:r w:rsidRPr="0041689F">
        <w:rPr>
          <w:rFonts w:ascii="Roboto" w:hAnsi="Roboto" w:cs="Arial"/>
          <w:bCs/>
          <w:sz w:val="24"/>
          <w:szCs w:val="24"/>
        </w:rPr>
        <w:t xml:space="preserve">d’instituer le régime des indemnités horaires pour travaux supplémentaires </w:t>
      </w:r>
      <w:r w:rsidRPr="0041689F">
        <w:rPr>
          <w:rFonts w:ascii="Roboto" w:hAnsi="Roboto" w:cs="Arial"/>
          <w:bCs/>
          <w:i/>
          <w:sz w:val="24"/>
          <w:szCs w:val="24"/>
        </w:rPr>
        <w:t xml:space="preserve">(I.H.T.S.) </w:t>
      </w:r>
      <w:r w:rsidRPr="0041689F">
        <w:rPr>
          <w:rFonts w:ascii="Roboto" w:hAnsi="Roboto" w:cs="Arial"/>
          <w:bCs/>
          <w:sz w:val="24"/>
          <w:szCs w:val="24"/>
        </w:rPr>
        <w:t>en faveur des agents susceptibles de les percevoir, dès lors que l’emploi occupé implique la réalisation effective d’heures supplémentaires et que le travail supplémentaire réalisé n’a pas fait l’objet d’une compensation sous la forme d’un repos compensateur, décidée expressément par l’autorité territoriale.</w:t>
      </w:r>
    </w:p>
    <w:p w14:paraId="59185E85" w14:textId="77777777" w:rsidR="0041689F" w:rsidRPr="0041689F" w:rsidRDefault="0041689F" w:rsidP="0041689F">
      <w:pPr>
        <w:tabs>
          <w:tab w:val="left" w:pos="1843"/>
          <w:tab w:val="center" w:pos="6804"/>
        </w:tabs>
        <w:jc w:val="both"/>
        <w:rPr>
          <w:rFonts w:ascii="Roboto" w:hAnsi="Roboto" w:cs="Arial"/>
          <w:bCs/>
          <w:sz w:val="24"/>
          <w:szCs w:val="24"/>
        </w:rPr>
      </w:pPr>
    </w:p>
    <w:p w14:paraId="16EF0948" w14:textId="77777777" w:rsidR="0041689F" w:rsidRPr="0041689F" w:rsidRDefault="0041689F" w:rsidP="0041689F">
      <w:pPr>
        <w:tabs>
          <w:tab w:val="left" w:pos="1843"/>
          <w:tab w:val="center" w:pos="6804"/>
        </w:tabs>
        <w:jc w:val="both"/>
        <w:rPr>
          <w:rFonts w:ascii="Roboto" w:hAnsi="Roboto" w:cs="Arial"/>
          <w:bCs/>
          <w:sz w:val="24"/>
          <w:szCs w:val="24"/>
        </w:rPr>
      </w:pPr>
      <w:r w:rsidRPr="0041689F">
        <w:rPr>
          <w:rFonts w:ascii="Roboto" w:hAnsi="Roboto" w:cs="Arial"/>
          <w:bCs/>
          <w:sz w:val="24"/>
          <w:szCs w:val="24"/>
        </w:rPr>
        <w:t xml:space="preserve">Au sein de la collectivité, les grades susceptibles de percevoir des I.H.T.S. sont les suivants :  </w:t>
      </w:r>
      <w:r w:rsidRPr="0041689F">
        <w:rPr>
          <w:rFonts w:ascii="Roboto" w:hAnsi="Roboto" w:cs="Arial"/>
          <w:bCs/>
          <w:i/>
          <w:sz w:val="24"/>
          <w:szCs w:val="24"/>
        </w:rPr>
        <w:t>lister.</w:t>
      </w:r>
    </w:p>
    <w:p w14:paraId="6B43D763" w14:textId="77777777" w:rsidR="0041689F" w:rsidRPr="0041689F" w:rsidRDefault="0041689F" w:rsidP="0041689F">
      <w:pPr>
        <w:tabs>
          <w:tab w:val="left" w:pos="1843"/>
          <w:tab w:val="center" w:pos="6804"/>
        </w:tabs>
        <w:jc w:val="both"/>
        <w:rPr>
          <w:rFonts w:ascii="Roboto" w:hAnsi="Roboto" w:cs="Arial"/>
          <w:bCs/>
          <w:sz w:val="24"/>
          <w:szCs w:val="24"/>
        </w:rPr>
      </w:pPr>
    </w:p>
    <w:p w14:paraId="24AACEB4" w14:textId="77777777" w:rsidR="0041689F" w:rsidRPr="0041689F" w:rsidRDefault="0041689F" w:rsidP="0041689F">
      <w:pPr>
        <w:tabs>
          <w:tab w:val="left" w:pos="1843"/>
          <w:tab w:val="center" w:pos="6804"/>
        </w:tabs>
        <w:jc w:val="both"/>
        <w:rPr>
          <w:rFonts w:ascii="Roboto" w:hAnsi="Roboto" w:cs="Arial"/>
          <w:bCs/>
          <w:i/>
          <w:sz w:val="24"/>
          <w:szCs w:val="24"/>
        </w:rPr>
      </w:pPr>
      <w:r w:rsidRPr="0041689F">
        <w:rPr>
          <w:rFonts w:ascii="Roboto" w:hAnsi="Roboto" w:cs="Arial"/>
          <w:bCs/>
          <w:i/>
          <w:sz w:val="24"/>
          <w:szCs w:val="24"/>
          <w:highlight w:val="yellow"/>
          <w:u w:val="single"/>
        </w:rPr>
        <w:t>NDLR :</w:t>
      </w:r>
      <w:r w:rsidRPr="0041689F">
        <w:rPr>
          <w:rFonts w:ascii="Roboto" w:hAnsi="Roboto" w:cs="Arial"/>
          <w:bCs/>
          <w:i/>
          <w:sz w:val="24"/>
          <w:szCs w:val="24"/>
          <w:highlight w:val="yellow"/>
        </w:rPr>
        <w:t xml:space="preserve"> Prévoir, le cas échéant, la nature des emplois et les fonctions qui peuvent nécessiter, à titre exceptionnel, dans le cadre de l’aménagement et de la réduction du temps de travail, la réalisation d’heures supplémentaires au-delà de 25 heures, sur décision motivée de l’autorité territoriale. Dans ce cas, le Comité technique doit être consulté au préalable et les garanties minimales fixées en matière d’organisation du travail par les décrets n° 2000-815 du 25 août 2000 (article 3-1) et n° 2001-623 du 12 juillet 2001 relatifs à l’aménagement et à la réduction du temps de travail doivent être respectées.</w:t>
      </w:r>
    </w:p>
    <w:p w14:paraId="47C88BDC" w14:textId="77777777" w:rsidR="0041689F" w:rsidRPr="0041689F" w:rsidRDefault="0041689F" w:rsidP="0041689F">
      <w:pPr>
        <w:tabs>
          <w:tab w:val="left" w:pos="1843"/>
          <w:tab w:val="center" w:pos="6804"/>
        </w:tabs>
        <w:jc w:val="both"/>
        <w:rPr>
          <w:rFonts w:ascii="Roboto" w:hAnsi="Roboto" w:cs="Arial"/>
          <w:bCs/>
          <w:sz w:val="24"/>
          <w:szCs w:val="24"/>
        </w:rPr>
      </w:pPr>
    </w:p>
    <w:p w14:paraId="73AA40CC" w14:textId="77777777" w:rsidR="0041689F" w:rsidRPr="0041689F" w:rsidRDefault="0041689F" w:rsidP="0041689F">
      <w:pPr>
        <w:pStyle w:val="Paragraphedeliste"/>
        <w:numPr>
          <w:ilvl w:val="0"/>
          <w:numId w:val="1"/>
        </w:numPr>
        <w:ind w:left="0" w:firstLine="426"/>
        <w:jc w:val="both"/>
        <w:rPr>
          <w:rFonts w:ascii="Roboto" w:hAnsi="Roboto" w:cs="Arial"/>
          <w:bCs/>
          <w:sz w:val="24"/>
          <w:szCs w:val="24"/>
        </w:rPr>
      </w:pPr>
      <w:r w:rsidRPr="0041689F">
        <w:rPr>
          <w:rFonts w:ascii="Roboto" w:hAnsi="Roboto" w:cs="Arial"/>
          <w:bCs/>
          <w:sz w:val="24"/>
          <w:szCs w:val="24"/>
        </w:rPr>
        <w:t>que le régime indemnitaire, tel que défini ci-dessus, sera alloué à compter du …………………………. aux fonctionnaires titulaires, stagiaires et, le cas échéant, aux agents contractuels de droit public,</w:t>
      </w:r>
    </w:p>
    <w:p w14:paraId="6584D60E" w14:textId="77777777" w:rsidR="0041689F" w:rsidRPr="0041689F" w:rsidRDefault="0041689F" w:rsidP="0041689F">
      <w:pPr>
        <w:tabs>
          <w:tab w:val="left" w:pos="1843"/>
          <w:tab w:val="center" w:pos="6804"/>
        </w:tabs>
        <w:jc w:val="both"/>
        <w:rPr>
          <w:rFonts w:ascii="Roboto" w:hAnsi="Roboto" w:cs="Arial"/>
          <w:bCs/>
          <w:sz w:val="24"/>
          <w:szCs w:val="24"/>
        </w:rPr>
      </w:pPr>
    </w:p>
    <w:p w14:paraId="3414D258" w14:textId="77777777" w:rsidR="0041689F" w:rsidRPr="0041689F" w:rsidRDefault="0041689F" w:rsidP="0041689F">
      <w:pPr>
        <w:tabs>
          <w:tab w:val="left" w:pos="851"/>
        </w:tabs>
        <w:jc w:val="both"/>
        <w:rPr>
          <w:rFonts w:ascii="Roboto" w:hAnsi="Roboto"/>
          <w:sz w:val="24"/>
          <w:szCs w:val="24"/>
        </w:rPr>
      </w:pPr>
      <w:r w:rsidRPr="0041689F">
        <w:rPr>
          <w:rFonts w:ascii="Roboto" w:hAnsi="Roboto"/>
          <w:sz w:val="24"/>
          <w:szCs w:val="24"/>
        </w:rPr>
        <w:tab/>
      </w:r>
    </w:p>
    <w:p w14:paraId="1DD64C18" w14:textId="77777777" w:rsidR="0041689F" w:rsidRPr="0041689F" w:rsidRDefault="0041689F" w:rsidP="0041689F">
      <w:pPr>
        <w:pStyle w:val="Paragraphedeliste"/>
        <w:numPr>
          <w:ilvl w:val="0"/>
          <w:numId w:val="1"/>
        </w:numPr>
        <w:tabs>
          <w:tab w:val="left" w:pos="1843"/>
          <w:tab w:val="center" w:pos="6804"/>
        </w:tabs>
        <w:jc w:val="both"/>
        <w:rPr>
          <w:rFonts w:ascii="Roboto" w:hAnsi="Roboto"/>
          <w:sz w:val="24"/>
          <w:szCs w:val="24"/>
        </w:rPr>
      </w:pPr>
      <w:r w:rsidRPr="0041689F">
        <w:rPr>
          <w:rFonts w:ascii="Roboto" w:hAnsi="Roboto" w:cs="Arial"/>
          <w:bCs/>
          <w:sz w:val="24"/>
          <w:szCs w:val="24"/>
        </w:rPr>
        <w:t>Les dépenses correspondantes seront imputées sur le chapitre ........... article ......... du budget.</w:t>
      </w:r>
    </w:p>
    <w:p w14:paraId="4131EB31" w14:textId="77777777" w:rsidR="0041689F" w:rsidRPr="0041689F" w:rsidRDefault="0041689F" w:rsidP="0041689F">
      <w:pPr>
        <w:tabs>
          <w:tab w:val="left" w:pos="851"/>
        </w:tabs>
        <w:jc w:val="both"/>
        <w:rPr>
          <w:rFonts w:ascii="Roboto" w:hAnsi="Roboto"/>
          <w:sz w:val="24"/>
          <w:szCs w:val="24"/>
        </w:rPr>
      </w:pPr>
    </w:p>
    <w:p w14:paraId="331892AA"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Fait à ..............................., le .........................</w:t>
      </w:r>
    </w:p>
    <w:p w14:paraId="50BF51C2" w14:textId="77777777" w:rsidR="0041689F" w:rsidRPr="0041689F" w:rsidRDefault="0041689F" w:rsidP="0041689F">
      <w:pPr>
        <w:pStyle w:val="articlecontenu"/>
        <w:spacing w:after="0"/>
        <w:ind w:firstLine="0"/>
        <w:rPr>
          <w:rFonts w:ascii="Roboto" w:hAnsi="Roboto" w:cs="Times New Roman"/>
          <w:sz w:val="24"/>
          <w:szCs w:val="24"/>
        </w:rPr>
      </w:pPr>
    </w:p>
    <w:p w14:paraId="56B05CB0"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Suivent les signatures</w:t>
      </w:r>
    </w:p>
    <w:p w14:paraId="46E0A447"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P. extrait conforme</w:t>
      </w:r>
    </w:p>
    <w:p w14:paraId="330B178D" w14:textId="77777777" w:rsidR="0041689F" w:rsidRPr="0041689F" w:rsidRDefault="0041689F" w:rsidP="0041689F">
      <w:pPr>
        <w:pStyle w:val="articlecontenu"/>
        <w:spacing w:after="0"/>
        <w:ind w:firstLine="0"/>
        <w:rPr>
          <w:rFonts w:ascii="Roboto" w:hAnsi="Roboto" w:cs="Times New Roman"/>
          <w:sz w:val="24"/>
          <w:szCs w:val="24"/>
        </w:rPr>
      </w:pPr>
    </w:p>
    <w:p w14:paraId="4B935B4E"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Le …………………….. (autorité territoriale)</w:t>
      </w:r>
    </w:p>
    <w:p w14:paraId="6F22AC6E"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(Nom – Prénom)</w:t>
      </w:r>
    </w:p>
    <w:p w14:paraId="203DE3C9"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(signature)</w:t>
      </w:r>
    </w:p>
    <w:p w14:paraId="353BC576" w14:textId="77777777" w:rsidR="0041689F" w:rsidRPr="0041689F" w:rsidRDefault="0041689F" w:rsidP="0041689F">
      <w:pPr>
        <w:pStyle w:val="articlecontenu"/>
        <w:spacing w:after="0"/>
        <w:ind w:firstLine="0"/>
        <w:rPr>
          <w:rFonts w:ascii="Roboto" w:hAnsi="Roboto" w:cs="Times New Roman"/>
          <w:sz w:val="24"/>
          <w:szCs w:val="24"/>
        </w:rPr>
      </w:pPr>
    </w:p>
    <w:p w14:paraId="51131729"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Le secrétaire de séance</w:t>
      </w:r>
    </w:p>
    <w:p w14:paraId="646C5653"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(Nom – Prénom)</w:t>
      </w:r>
    </w:p>
    <w:p w14:paraId="2B3888D1" w14:textId="77777777" w:rsidR="0041689F" w:rsidRPr="0041689F" w:rsidRDefault="0041689F" w:rsidP="0041689F">
      <w:pPr>
        <w:pStyle w:val="articlecontenu"/>
        <w:spacing w:after="0"/>
        <w:ind w:firstLine="0"/>
        <w:rPr>
          <w:rFonts w:ascii="Roboto" w:hAnsi="Roboto" w:cs="Times New Roman"/>
          <w:sz w:val="24"/>
          <w:szCs w:val="24"/>
        </w:rPr>
      </w:pPr>
      <w:r w:rsidRPr="0041689F">
        <w:rPr>
          <w:rFonts w:ascii="Roboto" w:hAnsi="Roboto" w:cs="Times New Roman"/>
          <w:sz w:val="24"/>
          <w:szCs w:val="24"/>
        </w:rPr>
        <w:t>(signature)</w:t>
      </w:r>
    </w:p>
    <w:p w14:paraId="32E58B86" w14:textId="77777777" w:rsidR="0041689F" w:rsidRPr="0041689F" w:rsidRDefault="0041689F" w:rsidP="0041689F">
      <w:pPr>
        <w:pStyle w:val="articlecontenu"/>
        <w:spacing w:after="0"/>
        <w:ind w:firstLine="0"/>
        <w:rPr>
          <w:rFonts w:ascii="Roboto" w:hAnsi="Roboto" w:cs="Times New Roman"/>
          <w:sz w:val="24"/>
          <w:szCs w:val="24"/>
          <w:u w:val="single"/>
        </w:rPr>
      </w:pPr>
    </w:p>
    <w:p w14:paraId="2B26661A" w14:textId="77777777" w:rsidR="0041689F" w:rsidRPr="0041689F" w:rsidRDefault="0041689F" w:rsidP="0041689F">
      <w:pPr>
        <w:pStyle w:val="articlecontenu"/>
        <w:spacing w:after="0"/>
        <w:ind w:firstLine="0"/>
        <w:rPr>
          <w:rFonts w:ascii="Roboto" w:hAnsi="Roboto" w:cs="Times New Roman"/>
          <w:sz w:val="24"/>
          <w:szCs w:val="24"/>
          <w:u w:val="single"/>
        </w:rPr>
      </w:pPr>
      <w:r w:rsidRPr="0041689F">
        <w:rPr>
          <w:rFonts w:ascii="Roboto" w:hAnsi="Roboto" w:cs="Times New Roman"/>
          <w:sz w:val="24"/>
          <w:szCs w:val="24"/>
          <w:u w:val="single"/>
        </w:rPr>
        <w:t>Transmission au contrôle de légalité</w:t>
      </w:r>
    </w:p>
    <w:p w14:paraId="7B27C5CA" w14:textId="77777777" w:rsidR="0041689F" w:rsidRPr="0041689F" w:rsidRDefault="0041689F" w:rsidP="0041689F">
      <w:pPr>
        <w:pStyle w:val="articlecontenu"/>
        <w:spacing w:after="0"/>
        <w:ind w:firstLine="0"/>
        <w:rPr>
          <w:rFonts w:ascii="Roboto" w:hAnsi="Roboto"/>
          <w:sz w:val="24"/>
          <w:szCs w:val="24"/>
        </w:rPr>
      </w:pPr>
      <w:r w:rsidRPr="0041689F">
        <w:rPr>
          <w:rFonts w:ascii="Roboto" w:hAnsi="Roboto" w:cs="Times New Roman"/>
          <w:sz w:val="24"/>
          <w:szCs w:val="24"/>
          <w:u w:val="single"/>
        </w:rPr>
        <w:t>Publié le…………..</w:t>
      </w:r>
    </w:p>
    <w:p w14:paraId="7F3BAEE3" w14:textId="77777777" w:rsidR="0054417D" w:rsidRPr="00BF6806" w:rsidRDefault="00F2320D" w:rsidP="00F2320D">
      <w:pPr>
        <w:jc w:val="center"/>
        <w:rPr>
          <w:rFonts w:ascii="Roboto" w:hAnsi="Roboto"/>
        </w:rPr>
      </w:pPr>
      <w:r>
        <w:rPr>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2FB127DD" w14:textId="77777777" w:rsidR="0054417D" w:rsidRPr="00BF6806" w:rsidRDefault="0054417D">
      <w:pPr>
        <w:rPr>
          <w:rFonts w:ascii="Roboto" w:hAnsi="Roboto"/>
        </w:rPr>
      </w:pPr>
    </w:p>
    <w:p w14:paraId="3A530441" w14:textId="77777777" w:rsidR="0054417D" w:rsidRPr="00BF6806" w:rsidRDefault="0054417D">
      <w:pPr>
        <w:rPr>
          <w:rFonts w:ascii="Roboto" w:hAnsi="Roboto"/>
        </w:rPr>
      </w:pPr>
    </w:p>
    <w:p w14:paraId="1DD70995" w14:textId="77777777" w:rsidR="0054417D" w:rsidRPr="00BF6806" w:rsidRDefault="0054417D">
      <w:pPr>
        <w:rPr>
          <w:rFonts w:ascii="Roboto" w:hAnsi="Roboto"/>
        </w:rPr>
      </w:pPr>
    </w:p>
    <w:p w14:paraId="5D97560B" w14:textId="77777777" w:rsidR="0054417D" w:rsidRPr="00BF6806" w:rsidRDefault="0054417D">
      <w:pPr>
        <w:rPr>
          <w:rFonts w:ascii="Roboto" w:hAnsi="Roboto"/>
        </w:rPr>
      </w:pPr>
    </w:p>
    <w:sectPr w:rsidR="0054417D" w:rsidRPr="00BF6806" w:rsidSect="00B05435">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E7E9" w14:textId="77777777" w:rsidR="004528E6" w:rsidRDefault="004528E6" w:rsidP="00E66A52">
      <w:r>
        <w:separator/>
      </w:r>
    </w:p>
  </w:endnote>
  <w:endnote w:type="continuationSeparator" w:id="0">
    <w:p w14:paraId="42B23C0C" w14:textId="77777777" w:rsidR="004528E6" w:rsidRDefault="004528E6"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6175179"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41689F">
      <w:rPr>
        <w:rFonts w:ascii="Roboto" w:hAnsi="Roboto" w:cs="Arial"/>
      </w:rPr>
      <w:t>Septembre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FE52" w14:textId="77777777" w:rsidR="004528E6" w:rsidRDefault="004528E6" w:rsidP="00E66A52">
      <w:r>
        <w:separator/>
      </w:r>
    </w:p>
  </w:footnote>
  <w:footnote w:type="continuationSeparator" w:id="0">
    <w:p w14:paraId="61E80787" w14:textId="77777777" w:rsidR="004528E6" w:rsidRDefault="004528E6"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0141"/>
    <w:multiLevelType w:val="hybridMultilevel"/>
    <w:tmpl w:val="207483BA"/>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23084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34498"/>
    <w:rsid w:val="00156D3A"/>
    <w:rsid w:val="001921D7"/>
    <w:rsid w:val="0021223F"/>
    <w:rsid w:val="00302649"/>
    <w:rsid w:val="0041689F"/>
    <w:rsid w:val="00440078"/>
    <w:rsid w:val="004528E6"/>
    <w:rsid w:val="004F1260"/>
    <w:rsid w:val="0054417D"/>
    <w:rsid w:val="00551D65"/>
    <w:rsid w:val="006246E3"/>
    <w:rsid w:val="007168C6"/>
    <w:rsid w:val="008B1A4B"/>
    <w:rsid w:val="00924236"/>
    <w:rsid w:val="009B6093"/>
    <w:rsid w:val="00B05435"/>
    <w:rsid w:val="00B60641"/>
    <w:rsid w:val="00BF6806"/>
    <w:rsid w:val="00E66A52"/>
    <w:rsid w:val="00F2320D"/>
    <w:rsid w:val="00F4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41689F"/>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rsid w:val="0041689F"/>
    <w:pPr>
      <w:spacing w:before="240" w:after="240"/>
      <w:jc w:val="center"/>
    </w:pPr>
    <w:rPr>
      <w:b/>
      <w:bCs/>
      <w:spacing w:val="40"/>
      <w:sz w:val="22"/>
      <w:szCs w:val="22"/>
    </w:rPr>
  </w:style>
  <w:style w:type="paragraph" w:customStyle="1" w:styleId="articlecontenu">
    <w:name w:val="article : contenu"/>
    <w:basedOn w:val="VuConsidrant"/>
    <w:rsid w:val="0041689F"/>
    <w:pPr>
      <w:ind w:firstLine="567"/>
    </w:pPr>
  </w:style>
  <w:style w:type="paragraph" w:styleId="Paragraphedeliste">
    <w:name w:val="List Paragraph"/>
    <w:basedOn w:val="Normal"/>
    <w:uiPriority w:val="34"/>
    <w:qFormat/>
    <w:rsid w:val="0041689F"/>
    <w:pPr>
      <w:autoSpaceDE w:val="0"/>
      <w:autoSpaceDN w:val="0"/>
      <w:ind w:left="720"/>
      <w:contextualSpacing/>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3</cp:revision>
  <cp:lastPrinted>2025-09-24T09:17:00Z</cp:lastPrinted>
  <dcterms:created xsi:type="dcterms:W3CDTF">2025-09-24T09:18:00Z</dcterms:created>
  <dcterms:modified xsi:type="dcterms:W3CDTF">2025-09-25T07:16:00Z</dcterms:modified>
</cp:coreProperties>
</file>