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5FF9711D" w14:textId="0D04AD0B" w:rsidR="00E66A52" w:rsidRDefault="00546FA5" w:rsidP="00E66A52">
            <w:pPr>
              <w:jc w:val="center"/>
              <w:rPr>
                <w:rFonts w:ascii="Roboto" w:hAnsi="Roboto" w:cs="Arial"/>
                <w:sz w:val="48"/>
                <w:szCs w:val="48"/>
              </w:rPr>
            </w:pPr>
            <w:r>
              <w:rPr>
                <w:rFonts w:ascii="Roboto" w:hAnsi="Roboto" w:cs="Arial"/>
                <w:sz w:val="48"/>
                <w:szCs w:val="48"/>
              </w:rPr>
              <w:t>COURRIER D’INFORMATION DE L’ENGAGEMENT D’UNE PROCEDURE DISCIPLINAIRE SANS SAISINE DU CONSEIL DE DISCIPLINE</w:t>
            </w:r>
          </w:p>
          <w:p w14:paraId="74C59F07" w14:textId="7F6274AF" w:rsidR="002926C2" w:rsidRPr="004F1260" w:rsidRDefault="002926C2" w:rsidP="00E66A52">
            <w:pPr>
              <w:jc w:val="center"/>
              <w:rPr>
                <w:rFonts w:ascii="Roboto" w:hAnsi="Roboto" w:cs="Arial"/>
                <w:sz w:val="48"/>
                <w:szCs w:val="48"/>
              </w:rPr>
            </w:pPr>
            <w:r>
              <w:rPr>
                <w:rFonts w:ascii="Roboto" w:hAnsi="Roboto" w:cs="Arial"/>
                <w:sz w:val="48"/>
                <w:szCs w:val="48"/>
              </w:rPr>
              <w:t>(</w:t>
            </w:r>
            <w:proofErr w:type="gramStart"/>
            <w:r>
              <w:rPr>
                <w:rFonts w:ascii="Roboto" w:hAnsi="Roboto" w:cs="Arial"/>
                <w:sz w:val="48"/>
                <w:szCs w:val="48"/>
              </w:rPr>
              <w:t>sanctions</w:t>
            </w:r>
            <w:proofErr w:type="gramEnd"/>
            <w:r>
              <w:rPr>
                <w:rFonts w:ascii="Roboto" w:hAnsi="Roboto" w:cs="Arial"/>
                <w:sz w:val="48"/>
                <w:szCs w:val="48"/>
              </w:rPr>
              <w:t xml:space="preserve"> du 1</w:t>
            </w:r>
            <w:r w:rsidRPr="002926C2">
              <w:rPr>
                <w:rFonts w:ascii="Roboto" w:hAnsi="Roboto" w:cs="Arial"/>
                <w:sz w:val="48"/>
                <w:szCs w:val="48"/>
                <w:vertAlign w:val="superscript"/>
              </w:rPr>
              <w:t>er</w:t>
            </w:r>
            <w:r>
              <w:rPr>
                <w:rFonts w:ascii="Roboto" w:hAnsi="Roboto" w:cs="Arial"/>
                <w:sz w:val="48"/>
                <w:szCs w:val="48"/>
              </w:rPr>
              <w:t xml:space="preserve"> groupe)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1A92DF45" w:rsidR="00CA1181" w:rsidRDefault="0042321E" w:rsidP="00CA1181">
                                  <w:pPr>
                                    <w:jc w:val="center"/>
                                    <w:rPr>
                                      <w:rFonts w:ascii="Roboto" w:hAnsi="Roboto" w:cs="Arial"/>
                                      <w:color w:val="000000" w:themeColor="text1"/>
                                    </w:rPr>
                                  </w:pPr>
                                  <w:r>
                                    <w:rPr>
                                      <w:rFonts w:ascii="Roboto" w:hAnsi="Roboto" w:cs="Arial"/>
                                      <w:color w:val="000000" w:themeColor="text1"/>
                                    </w:rPr>
                                    <w:t>MODELE DE</w:t>
                                  </w:r>
                                </w:p>
                                <w:p w14:paraId="06427A78" w14:textId="0D40A435" w:rsidR="0042321E" w:rsidRPr="00BF6806" w:rsidRDefault="0042321E" w:rsidP="0042321E">
                                  <w:pPr>
                                    <w:jc w:val="center"/>
                                    <w:rPr>
                                      <w:rFonts w:ascii="Roboto" w:hAnsi="Roboto" w:cs="Arial"/>
                                      <w:color w:val="000000" w:themeColor="text1"/>
                                    </w:rPr>
                                  </w:pPr>
                                  <w:r>
                                    <w:rPr>
                                      <w:rFonts w:ascii="Roboto" w:hAnsi="Roboto" w:cs="Arial"/>
                                      <w:color w:val="000000" w:themeColor="text1"/>
                                    </w:rPr>
                                    <w:t>COURRIER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1A92DF45" w:rsidR="00CA1181" w:rsidRDefault="0042321E" w:rsidP="00CA1181">
                            <w:pPr>
                              <w:jc w:val="center"/>
                              <w:rPr>
                                <w:rFonts w:ascii="Roboto" w:hAnsi="Roboto" w:cs="Arial"/>
                                <w:color w:val="000000" w:themeColor="text1"/>
                              </w:rPr>
                            </w:pPr>
                            <w:r>
                              <w:rPr>
                                <w:rFonts w:ascii="Roboto" w:hAnsi="Roboto" w:cs="Arial"/>
                                <w:color w:val="000000" w:themeColor="text1"/>
                              </w:rPr>
                              <w:t>MODELE DE</w:t>
                            </w:r>
                          </w:p>
                          <w:p w14:paraId="06427A78" w14:textId="0D40A435" w:rsidR="0042321E" w:rsidRPr="00BF6806" w:rsidRDefault="0042321E" w:rsidP="0042321E">
                            <w:pPr>
                              <w:jc w:val="center"/>
                              <w:rPr>
                                <w:rFonts w:ascii="Roboto" w:hAnsi="Roboto" w:cs="Arial"/>
                                <w:color w:val="000000" w:themeColor="text1"/>
                              </w:rPr>
                            </w:pPr>
                            <w:r>
                              <w:rPr>
                                <w:rFonts w:ascii="Roboto" w:hAnsi="Roboto" w:cs="Arial"/>
                                <w:color w:val="000000" w:themeColor="text1"/>
                              </w:rPr>
                              <w:t>COURRIER</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5C9C0BC2" w14:textId="65985743" w:rsidR="0054417D" w:rsidRPr="00BF6806" w:rsidRDefault="0054417D">
      <w:pPr>
        <w:rPr>
          <w:rFonts w:ascii="Roboto" w:hAnsi="Roboto" w:cs="Arial"/>
          <w:sz w:val="36"/>
          <w:szCs w:val="36"/>
          <w:u w:val="single"/>
        </w:rPr>
      </w:pPr>
      <w:r>
        <w:rPr>
          <w:noProof/>
          <w:lang w:eastAsia="fr-FR"/>
        </w:rPr>
        <w:drawing>
          <wp:anchor distT="0" distB="0" distL="114300" distR="114300" simplePos="0" relativeHeight="251660288" behindDoc="1" locked="0" layoutInCell="1" allowOverlap="1" wp14:anchorId="6C0523ED" wp14:editId="66033DB2">
            <wp:simplePos x="0" y="0"/>
            <wp:positionH relativeFrom="page">
              <wp:posOffset>238124</wp:posOffset>
            </wp:positionH>
            <wp:positionV relativeFrom="page">
              <wp:posOffset>4162425</wp:posOffset>
            </wp:positionV>
            <wp:extent cx="6334125" cy="1094105"/>
            <wp:effectExtent l="0" t="0" r="952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4629" cy="1094192"/>
                    </a:xfrm>
                    <a:prstGeom prst="rect">
                      <a:avLst/>
                    </a:prstGeom>
                  </pic:spPr>
                </pic:pic>
              </a:graphicData>
            </a:graphic>
            <wp14:sizeRelH relativeFrom="page">
              <wp14:pctWidth>0</wp14:pctWidth>
            </wp14:sizeRelH>
            <wp14:sizeRelV relativeFrom="page">
              <wp14:pctHeight>0</wp14:pctHeight>
            </wp14:sizeRelV>
          </wp:anchor>
        </w:drawing>
      </w:r>
      <w:r w:rsidR="00546FA5" w:rsidRPr="00546FA5">
        <w:rPr>
          <w:rFonts w:eastAsia="Calibri" w:cs="Arial"/>
          <w:i/>
          <w:sz w:val="24"/>
        </w:rPr>
        <w:t xml:space="preserve"> </w:t>
      </w:r>
      <w:r w:rsidR="00546FA5" w:rsidRPr="00546FA5">
        <w:rPr>
          <w:rFonts w:ascii="Roboto" w:eastAsia="Calibri" w:hAnsi="Roboto" w:cs="Arial"/>
          <w:iCs/>
          <w:sz w:val="36"/>
          <w:szCs w:val="36"/>
          <w:u w:val="single"/>
        </w:rPr>
        <w:t>Uniquement pour les sanctions suivantes : avertissement, blâme, exclusion de fonctions jusqu’à 3 jours)</w:t>
      </w:r>
      <w:r w:rsidR="002926C2">
        <w:rPr>
          <w:rFonts w:ascii="Roboto" w:hAnsi="Roboto" w:cs="Arial"/>
          <w:sz w:val="36"/>
          <w:szCs w:val="36"/>
          <w:u w:val="single"/>
        </w:rPr>
        <w:t> :</w:t>
      </w:r>
    </w:p>
    <w:p w14:paraId="697BF0EF" w14:textId="77777777" w:rsidR="0054417D" w:rsidRPr="00BF6806" w:rsidRDefault="0054417D">
      <w:pPr>
        <w:rPr>
          <w:rFonts w:ascii="Roboto" w:hAnsi="Roboto" w:cs="Arial"/>
        </w:rPr>
      </w:pPr>
    </w:p>
    <w:p w14:paraId="257AABE1" w14:textId="77777777" w:rsidR="002926C2" w:rsidRDefault="002926C2" w:rsidP="002926C2"/>
    <w:p w14:paraId="1B47AAF5" w14:textId="77777777" w:rsidR="00546FA5" w:rsidRPr="00546FA5" w:rsidRDefault="00546FA5" w:rsidP="00546FA5">
      <w:pPr>
        <w:ind w:left="5664" w:firstLine="708"/>
        <w:jc w:val="center"/>
        <w:rPr>
          <w:rFonts w:ascii="Roboto" w:hAnsi="Roboto"/>
        </w:rPr>
      </w:pPr>
      <w:r w:rsidRPr="00546FA5">
        <w:rPr>
          <w:rFonts w:ascii="Roboto" w:hAnsi="Roboto"/>
        </w:rPr>
        <w:t xml:space="preserve">A…… </w:t>
      </w:r>
      <w:r w:rsidRPr="00546FA5">
        <w:rPr>
          <w:rFonts w:ascii="Roboto" w:hAnsi="Roboto"/>
          <w:i/>
          <w:color w:val="C45911" w:themeColor="accent2" w:themeShade="BF"/>
        </w:rPr>
        <w:t>(lieu)</w:t>
      </w:r>
      <w:r w:rsidRPr="00546FA5">
        <w:rPr>
          <w:rFonts w:ascii="Roboto" w:hAnsi="Roboto"/>
        </w:rPr>
        <w:t xml:space="preserve">, le…… </w:t>
      </w:r>
      <w:r w:rsidRPr="00546FA5">
        <w:rPr>
          <w:rFonts w:ascii="Roboto" w:hAnsi="Roboto"/>
          <w:i/>
          <w:color w:val="C45911" w:themeColor="accent2" w:themeShade="BF"/>
        </w:rPr>
        <w:t>(date)</w:t>
      </w:r>
    </w:p>
    <w:p w14:paraId="27764CA0" w14:textId="77777777" w:rsidR="00546FA5" w:rsidRPr="00546FA5" w:rsidRDefault="00546FA5" w:rsidP="00546FA5">
      <w:pPr>
        <w:jc w:val="right"/>
        <w:rPr>
          <w:rFonts w:ascii="Roboto" w:hAnsi="Roboto"/>
        </w:rPr>
      </w:pPr>
      <w:r w:rsidRPr="00546FA5">
        <w:rPr>
          <w:rFonts w:ascii="Roboto" w:hAnsi="Roboto"/>
        </w:rPr>
        <w:t>……………………………</w:t>
      </w:r>
    </w:p>
    <w:p w14:paraId="7338BB8A" w14:textId="47FBCC15" w:rsidR="00546FA5" w:rsidRPr="00546FA5" w:rsidRDefault="00546FA5" w:rsidP="00546FA5">
      <w:pPr>
        <w:jc w:val="right"/>
        <w:rPr>
          <w:rFonts w:ascii="Roboto" w:hAnsi="Roboto"/>
        </w:rPr>
      </w:pPr>
      <w:r w:rsidRPr="00546FA5">
        <w:rPr>
          <w:rFonts w:ascii="Roboto" w:hAnsi="Roboto"/>
        </w:rPr>
        <w:t>……………………………</w:t>
      </w:r>
    </w:p>
    <w:p w14:paraId="627F98FD" w14:textId="77777777" w:rsidR="00546FA5" w:rsidRPr="00546FA5" w:rsidRDefault="00546FA5" w:rsidP="00546FA5">
      <w:pPr>
        <w:jc w:val="right"/>
        <w:rPr>
          <w:rFonts w:ascii="Roboto" w:hAnsi="Roboto"/>
        </w:rPr>
      </w:pPr>
      <w:r w:rsidRPr="00546FA5">
        <w:rPr>
          <w:rFonts w:ascii="Roboto" w:hAnsi="Roboto"/>
        </w:rPr>
        <w:t xml:space="preserve">…………………………… </w:t>
      </w:r>
    </w:p>
    <w:p w14:paraId="541D13E0" w14:textId="77777777" w:rsidR="00546FA5" w:rsidRPr="00546FA5" w:rsidRDefault="00546FA5" w:rsidP="00546FA5">
      <w:pPr>
        <w:jc w:val="right"/>
        <w:rPr>
          <w:rFonts w:ascii="Roboto" w:hAnsi="Roboto"/>
        </w:rPr>
      </w:pPr>
      <w:r w:rsidRPr="00546FA5">
        <w:rPr>
          <w:rFonts w:ascii="Roboto" w:hAnsi="Roboto"/>
          <w:i/>
          <w:color w:val="C45911" w:themeColor="accent2" w:themeShade="BF"/>
        </w:rPr>
        <w:t>(</w:t>
      </w:r>
      <w:proofErr w:type="gramStart"/>
      <w:r w:rsidRPr="00546FA5">
        <w:rPr>
          <w:rFonts w:ascii="Roboto" w:hAnsi="Roboto"/>
          <w:i/>
          <w:color w:val="C45911" w:themeColor="accent2" w:themeShade="BF"/>
        </w:rPr>
        <w:t>nom</w:t>
      </w:r>
      <w:proofErr w:type="gramEnd"/>
      <w:r w:rsidRPr="00546FA5">
        <w:rPr>
          <w:rFonts w:ascii="Roboto" w:hAnsi="Roboto"/>
          <w:i/>
          <w:color w:val="C45911" w:themeColor="accent2" w:themeShade="BF"/>
        </w:rPr>
        <w:t xml:space="preserve"> et adresse de l’agent)</w:t>
      </w:r>
    </w:p>
    <w:p w14:paraId="7A905CC7" w14:textId="77777777" w:rsidR="00546FA5" w:rsidRPr="00546FA5" w:rsidRDefault="00546FA5" w:rsidP="00546FA5">
      <w:pPr>
        <w:rPr>
          <w:rFonts w:ascii="Roboto" w:hAnsi="Roboto"/>
        </w:rPr>
      </w:pPr>
    </w:p>
    <w:p w14:paraId="0F44276C" w14:textId="77777777" w:rsidR="00546FA5" w:rsidRPr="00546FA5" w:rsidRDefault="00546FA5" w:rsidP="00546FA5">
      <w:pPr>
        <w:rPr>
          <w:rFonts w:ascii="Roboto" w:hAnsi="Roboto"/>
          <w:b/>
        </w:rPr>
      </w:pPr>
      <w:r w:rsidRPr="00546FA5">
        <w:rPr>
          <w:rFonts w:ascii="Roboto" w:hAnsi="Roboto"/>
          <w:b/>
        </w:rPr>
        <w:t xml:space="preserve">Lettre recommandée avec accusé de réception </w:t>
      </w:r>
      <w:r w:rsidRPr="00546FA5">
        <w:rPr>
          <w:rFonts w:ascii="Roboto" w:hAnsi="Roboto"/>
          <w:b/>
          <w:i/>
        </w:rPr>
        <w:t>OU</w:t>
      </w:r>
      <w:r w:rsidRPr="00546FA5">
        <w:rPr>
          <w:rFonts w:ascii="Roboto" w:hAnsi="Roboto"/>
          <w:b/>
        </w:rPr>
        <w:t xml:space="preserve"> remise en main propre contre décharge</w:t>
      </w:r>
    </w:p>
    <w:p w14:paraId="44A907B7" w14:textId="77777777" w:rsidR="00546FA5" w:rsidRPr="00546FA5" w:rsidRDefault="00546FA5" w:rsidP="00546FA5">
      <w:pPr>
        <w:rPr>
          <w:rFonts w:ascii="Roboto" w:hAnsi="Roboto"/>
          <w:b/>
        </w:rPr>
      </w:pPr>
    </w:p>
    <w:p w14:paraId="2399DB23" w14:textId="77777777" w:rsidR="00546FA5" w:rsidRPr="00546FA5" w:rsidRDefault="00546FA5" w:rsidP="00546FA5">
      <w:pPr>
        <w:rPr>
          <w:rFonts w:ascii="Roboto" w:hAnsi="Roboto"/>
        </w:rPr>
      </w:pPr>
      <w:r w:rsidRPr="00546FA5">
        <w:rPr>
          <w:rFonts w:ascii="Roboto" w:hAnsi="Roboto"/>
          <w:b/>
        </w:rPr>
        <w:t>Objet </w:t>
      </w:r>
      <w:r w:rsidRPr="00546FA5">
        <w:rPr>
          <w:rFonts w:ascii="Roboto" w:hAnsi="Roboto"/>
        </w:rPr>
        <w:t xml:space="preserve">: engagement d’une procédure disciplinaire </w:t>
      </w:r>
    </w:p>
    <w:p w14:paraId="60789784" w14:textId="77777777" w:rsidR="00546FA5" w:rsidRPr="00546FA5" w:rsidRDefault="00546FA5" w:rsidP="00546FA5">
      <w:pPr>
        <w:ind w:firstLine="708"/>
        <w:rPr>
          <w:rFonts w:ascii="Roboto" w:hAnsi="Roboto"/>
          <w:color w:val="2E74B5"/>
        </w:rPr>
      </w:pPr>
    </w:p>
    <w:p w14:paraId="0D599FF0" w14:textId="77777777" w:rsidR="00546FA5" w:rsidRPr="00546FA5" w:rsidRDefault="00546FA5" w:rsidP="00546FA5">
      <w:pPr>
        <w:ind w:firstLine="708"/>
        <w:rPr>
          <w:rFonts w:ascii="Roboto" w:hAnsi="Roboto"/>
        </w:rPr>
      </w:pPr>
      <w:r w:rsidRPr="00546FA5">
        <w:rPr>
          <w:rFonts w:ascii="Roboto" w:hAnsi="Roboto"/>
          <w:color w:val="2E74B5" w:themeColor="accent1" w:themeShade="BF"/>
        </w:rPr>
        <w:t>Monsieur/Madame</w:t>
      </w:r>
      <w:r w:rsidRPr="00546FA5">
        <w:rPr>
          <w:rFonts w:ascii="Roboto" w:hAnsi="Roboto"/>
        </w:rPr>
        <w:t xml:space="preserve">……………… </w:t>
      </w:r>
      <w:r w:rsidRPr="00546FA5">
        <w:rPr>
          <w:rFonts w:ascii="Roboto" w:hAnsi="Roboto"/>
          <w:i/>
          <w:color w:val="C45911" w:themeColor="accent2" w:themeShade="BF"/>
        </w:rPr>
        <w:t>(Nom de l’agent)</w:t>
      </w:r>
      <w:r w:rsidRPr="00546FA5">
        <w:rPr>
          <w:rFonts w:ascii="Roboto" w:hAnsi="Roboto"/>
        </w:rPr>
        <w:t>,</w:t>
      </w:r>
    </w:p>
    <w:p w14:paraId="42596CC4" w14:textId="77777777" w:rsidR="00546FA5" w:rsidRPr="00546FA5" w:rsidRDefault="00546FA5" w:rsidP="00546FA5">
      <w:pPr>
        <w:ind w:firstLine="708"/>
        <w:rPr>
          <w:rFonts w:ascii="Roboto" w:hAnsi="Roboto"/>
        </w:rPr>
      </w:pPr>
    </w:p>
    <w:p w14:paraId="7BAE65FA" w14:textId="77777777" w:rsidR="00546FA5" w:rsidRPr="00546FA5" w:rsidRDefault="00546FA5" w:rsidP="00546FA5">
      <w:pPr>
        <w:rPr>
          <w:rFonts w:ascii="Roboto" w:hAnsi="Roboto"/>
        </w:rPr>
      </w:pPr>
      <w:r w:rsidRPr="00546FA5">
        <w:rPr>
          <w:rFonts w:ascii="Roboto" w:hAnsi="Roboto"/>
        </w:rPr>
        <w:t xml:space="preserve">Je vous informe de l’engagement d’une procédure disciplinaire à votre encontre, en raison des faits énumérés ci-après qui vous sont reprochés : </w:t>
      </w:r>
    </w:p>
    <w:p w14:paraId="6C8B32A9" w14:textId="77777777" w:rsidR="00546FA5" w:rsidRPr="00546FA5" w:rsidRDefault="00546FA5" w:rsidP="00546FA5">
      <w:pPr>
        <w:rPr>
          <w:rFonts w:ascii="Roboto" w:hAnsi="Roboto"/>
        </w:rPr>
      </w:pPr>
      <w:r w:rsidRPr="00546FA5">
        <w:rPr>
          <w:rFonts w:ascii="Roboto" w:hAnsi="Roboto"/>
        </w:rPr>
        <w:t xml:space="preserve">- </w:t>
      </w:r>
      <w:r w:rsidRPr="00546FA5">
        <w:rPr>
          <w:rFonts w:ascii="Roboto" w:hAnsi="Roboto"/>
          <w:i/>
          <w:color w:val="C45911" w:themeColor="accent2" w:themeShade="BF"/>
        </w:rPr>
        <w:t xml:space="preserve">(Indiquer les faits constitutifs de la ou des faute(s) et donner les éléments détaillés de contexte : lieu, date, </w:t>
      </w:r>
      <w:proofErr w:type="gramStart"/>
      <w:r w:rsidRPr="00546FA5">
        <w:rPr>
          <w:rFonts w:ascii="Roboto" w:hAnsi="Roboto"/>
          <w:i/>
          <w:color w:val="C45911" w:themeColor="accent2" w:themeShade="BF"/>
        </w:rPr>
        <w:t>circonstances,…</w:t>
      </w:r>
      <w:proofErr w:type="gramEnd"/>
      <w:r w:rsidRPr="00546FA5">
        <w:rPr>
          <w:rFonts w:ascii="Roboto" w:hAnsi="Roboto"/>
          <w:i/>
          <w:color w:val="C45911" w:themeColor="accent2" w:themeShade="BF"/>
        </w:rPr>
        <w:t>)</w:t>
      </w:r>
    </w:p>
    <w:p w14:paraId="33236D90" w14:textId="77777777" w:rsidR="00546FA5" w:rsidRPr="00546FA5" w:rsidRDefault="00546FA5" w:rsidP="00546FA5">
      <w:pPr>
        <w:rPr>
          <w:rFonts w:ascii="Roboto" w:hAnsi="Roboto"/>
        </w:rPr>
      </w:pPr>
      <w:r w:rsidRPr="00546FA5">
        <w:rPr>
          <w:rFonts w:ascii="Roboto" w:hAnsi="Roboto"/>
        </w:rPr>
        <w:t>-</w:t>
      </w:r>
    </w:p>
    <w:p w14:paraId="712F0400" w14:textId="77777777" w:rsidR="00546FA5" w:rsidRPr="00546FA5" w:rsidRDefault="00546FA5" w:rsidP="00546FA5">
      <w:pPr>
        <w:rPr>
          <w:rFonts w:ascii="Roboto" w:hAnsi="Roboto"/>
        </w:rPr>
      </w:pPr>
      <w:r w:rsidRPr="00546FA5">
        <w:rPr>
          <w:rFonts w:ascii="Roboto" w:hAnsi="Roboto"/>
        </w:rPr>
        <w:t>-</w:t>
      </w:r>
    </w:p>
    <w:p w14:paraId="33B97A46" w14:textId="77777777" w:rsidR="00546FA5" w:rsidRPr="00546FA5" w:rsidRDefault="00546FA5" w:rsidP="00546FA5">
      <w:pPr>
        <w:rPr>
          <w:rFonts w:ascii="Roboto" w:hAnsi="Roboto"/>
        </w:rPr>
      </w:pPr>
      <w:r w:rsidRPr="00546FA5">
        <w:rPr>
          <w:rFonts w:ascii="Roboto" w:hAnsi="Roboto"/>
        </w:rPr>
        <w:t>Compte tenu de ces éléments, la sanction envisagée à votre encontre est la suivante : ………</w:t>
      </w:r>
      <w:proofErr w:type="gramStart"/>
      <w:r w:rsidRPr="00546FA5">
        <w:rPr>
          <w:rFonts w:ascii="Roboto" w:hAnsi="Roboto"/>
        </w:rPr>
        <w:t>…….</w:t>
      </w:r>
      <w:proofErr w:type="gramEnd"/>
      <w:r w:rsidRPr="00546FA5">
        <w:rPr>
          <w:rFonts w:ascii="Roboto" w:hAnsi="Roboto"/>
        </w:rPr>
        <w:t xml:space="preserve">. </w:t>
      </w:r>
      <w:r w:rsidRPr="00546FA5">
        <w:rPr>
          <w:rFonts w:ascii="Roboto" w:hAnsi="Roboto"/>
          <w:i/>
          <w:color w:val="C45911" w:themeColor="accent2" w:themeShade="BF"/>
        </w:rPr>
        <w:t xml:space="preserve">(Indiquer la sanction, qui ne peut être qu’un </w:t>
      </w:r>
      <w:r w:rsidRPr="00546FA5">
        <w:rPr>
          <w:rFonts w:ascii="Roboto" w:eastAsia="Calibri" w:hAnsi="Roboto" w:cs="Arial"/>
          <w:i/>
          <w:color w:val="C45911" w:themeColor="accent2" w:themeShade="BF"/>
        </w:rPr>
        <w:t>avertissement, un blâme, ou une exclusion de fonctions jusqu’à 3 jours</w:t>
      </w:r>
      <w:r w:rsidRPr="00546FA5">
        <w:rPr>
          <w:rFonts w:ascii="Roboto" w:hAnsi="Roboto"/>
          <w:i/>
          <w:color w:val="C45911" w:themeColor="accent2" w:themeShade="BF"/>
        </w:rPr>
        <w:t>)</w:t>
      </w:r>
      <w:r w:rsidRPr="00546FA5">
        <w:rPr>
          <w:rFonts w:ascii="Roboto" w:hAnsi="Roboto"/>
        </w:rPr>
        <w:t>.</w:t>
      </w:r>
    </w:p>
    <w:p w14:paraId="6D949616" w14:textId="77777777" w:rsidR="00546FA5" w:rsidRPr="00546FA5" w:rsidRDefault="00546FA5" w:rsidP="00546FA5">
      <w:pPr>
        <w:numPr>
          <w:ilvl w:val="0"/>
          <w:numId w:val="2"/>
        </w:numPr>
        <w:pBdr>
          <w:top w:val="none" w:sz="4" w:space="0" w:color="000000"/>
          <w:left w:val="none" w:sz="4" w:space="0" w:color="000000"/>
          <w:bottom w:val="none" w:sz="4" w:space="0" w:color="000000"/>
          <w:right w:val="none" w:sz="4" w:space="0" w:color="000000"/>
          <w:between w:val="none" w:sz="4" w:space="0" w:color="000000"/>
        </w:pBdr>
        <w:spacing w:after="120" w:line="320" w:lineRule="exact"/>
        <w:jc w:val="both"/>
        <w:rPr>
          <w:rFonts w:ascii="Roboto" w:hAnsi="Roboto"/>
          <w:color w:val="2E74B5"/>
        </w:rPr>
      </w:pPr>
      <w:r w:rsidRPr="00546FA5">
        <w:rPr>
          <w:rFonts w:ascii="Roboto" w:hAnsi="Roboto"/>
        </w:rPr>
        <w:t xml:space="preserve">En application de l’article L.532-4 du code général de la fonction publique et </w:t>
      </w:r>
      <w:r w:rsidRPr="00546FA5">
        <w:rPr>
          <w:rFonts w:ascii="Roboto" w:hAnsi="Roboto"/>
          <w:color w:val="2E74B5" w:themeColor="accent1" w:themeShade="BF"/>
        </w:rPr>
        <w:t>du décret n°89-677 du 18 septembre 1989 relatif à la procédure disciplinaire applicable aux fonctionnaires territoriaux</w:t>
      </w:r>
      <w:r w:rsidRPr="00546FA5">
        <w:rPr>
          <w:rFonts w:ascii="Roboto" w:hAnsi="Roboto"/>
        </w:rPr>
        <w:t xml:space="preserve"> </w:t>
      </w:r>
      <w:r w:rsidRPr="00546FA5">
        <w:rPr>
          <w:rFonts w:ascii="Roboto" w:hAnsi="Roboto"/>
          <w:i/>
          <w:color w:val="C45911" w:themeColor="accent2" w:themeShade="BF"/>
        </w:rPr>
        <w:t>(pour les agents fonctionnaires. Pour les fonctionnaires stagiaires, ajouter le décret n°92-1194 du 4 novembre 1994 fixant les dispositions communes applicables aux fonctionnaires stagiaires de la fonction publique territoriale)</w:t>
      </w:r>
      <w:r w:rsidRPr="00546FA5">
        <w:rPr>
          <w:rFonts w:ascii="Roboto" w:hAnsi="Roboto"/>
          <w:color w:val="C45911" w:themeColor="accent2" w:themeShade="BF"/>
        </w:rPr>
        <w:t> </w:t>
      </w:r>
      <w:r w:rsidRPr="00546FA5">
        <w:rPr>
          <w:rFonts w:ascii="Roboto" w:hAnsi="Roboto"/>
          <w:color w:val="2E74B5" w:themeColor="accent1" w:themeShade="BF"/>
        </w:rPr>
        <w:t xml:space="preserve">/ de l’article 37 du décret n°88-145 du décret du 15 février 1988 relatif aux agents contractuels </w:t>
      </w:r>
      <w:r w:rsidRPr="00546FA5">
        <w:rPr>
          <w:rFonts w:ascii="Roboto" w:hAnsi="Roboto"/>
          <w:color w:val="2E74B5" w:themeColor="accent1" w:themeShade="BF"/>
        </w:rPr>
        <w:lastRenderedPageBreak/>
        <w:t xml:space="preserve">de la fonction publique territoriale </w:t>
      </w:r>
      <w:r w:rsidRPr="00546FA5">
        <w:rPr>
          <w:rFonts w:ascii="Roboto" w:hAnsi="Roboto"/>
          <w:i/>
          <w:color w:val="C45911" w:themeColor="accent2" w:themeShade="BF"/>
        </w:rPr>
        <w:t>(pour les agents contractuels)</w:t>
      </w:r>
      <w:r w:rsidRPr="00546FA5">
        <w:rPr>
          <w:rFonts w:ascii="Roboto" w:hAnsi="Roboto"/>
        </w:rPr>
        <w:t xml:space="preserve">, vous avez droit, </w:t>
      </w:r>
      <w:r w:rsidRPr="00546FA5">
        <w:rPr>
          <w:rFonts w:ascii="Roboto" w:hAnsi="Roboto"/>
          <w:b/>
        </w:rPr>
        <w:t xml:space="preserve">tout au long de la procédure : </w:t>
      </w:r>
    </w:p>
    <w:p w14:paraId="784EAED8" w14:textId="77777777" w:rsidR="00546FA5" w:rsidRPr="00546FA5" w:rsidRDefault="00546FA5" w:rsidP="00546FA5">
      <w:pPr>
        <w:pStyle w:val="Paragraphedeliste"/>
        <w:numPr>
          <w:ilvl w:val="0"/>
          <w:numId w:val="3"/>
        </w:numPr>
        <w:rPr>
          <w:rFonts w:ascii="Roboto" w:hAnsi="Roboto"/>
        </w:rPr>
      </w:pPr>
      <w:r w:rsidRPr="00546FA5">
        <w:rPr>
          <w:rFonts w:ascii="Roboto" w:hAnsi="Roboto"/>
        </w:rPr>
        <w:t>À la communication de l’intégralité de votre dossier individuel et de ses annexes</w:t>
      </w:r>
      <w:r w:rsidRPr="00546FA5">
        <w:rPr>
          <w:rFonts w:ascii="Roboto" w:hAnsi="Roboto"/>
          <w:color w:val="000000" w:themeColor="text1"/>
        </w:rPr>
        <w:t xml:space="preserve">, </w:t>
      </w:r>
    </w:p>
    <w:p w14:paraId="7D968130" w14:textId="77777777" w:rsidR="00546FA5" w:rsidRPr="00546FA5" w:rsidRDefault="00546FA5" w:rsidP="00546FA5">
      <w:pPr>
        <w:pStyle w:val="Paragraphedeliste"/>
        <w:numPr>
          <w:ilvl w:val="0"/>
          <w:numId w:val="3"/>
        </w:numPr>
        <w:rPr>
          <w:rFonts w:ascii="Roboto" w:hAnsi="Roboto"/>
        </w:rPr>
      </w:pPr>
      <w:r w:rsidRPr="00546FA5">
        <w:rPr>
          <w:rFonts w:ascii="Roboto" w:hAnsi="Roboto"/>
        </w:rPr>
        <w:t>À l’assistance d’un ou plusieurs défenseurs de votre choix,</w:t>
      </w:r>
    </w:p>
    <w:p w14:paraId="11E6FDDC" w14:textId="77777777" w:rsidR="00546FA5" w:rsidRPr="00546FA5" w:rsidRDefault="00546FA5" w:rsidP="00546FA5">
      <w:pPr>
        <w:pStyle w:val="Paragraphedeliste"/>
        <w:numPr>
          <w:ilvl w:val="0"/>
          <w:numId w:val="3"/>
        </w:numPr>
        <w:rPr>
          <w:rFonts w:ascii="Roboto" w:hAnsi="Roboto"/>
        </w:rPr>
      </w:pPr>
      <w:r w:rsidRPr="00546FA5">
        <w:rPr>
          <w:rFonts w:ascii="Roboto" w:hAnsi="Roboto"/>
        </w:rPr>
        <w:t xml:space="preserve">À la production d’observations écrites ou </w:t>
      </w:r>
      <w:proofErr w:type="gramStart"/>
      <w:r w:rsidRPr="00546FA5">
        <w:rPr>
          <w:rFonts w:ascii="Roboto" w:hAnsi="Roboto"/>
        </w:rPr>
        <w:t>orales  sur</w:t>
      </w:r>
      <w:proofErr w:type="gramEnd"/>
      <w:r w:rsidRPr="00546FA5">
        <w:rPr>
          <w:rFonts w:ascii="Roboto" w:hAnsi="Roboto"/>
        </w:rPr>
        <w:t xml:space="preserve"> les faits qui vous sont reprochés,</w:t>
      </w:r>
    </w:p>
    <w:p w14:paraId="65A5984B" w14:textId="77777777" w:rsidR="00546FA5" w:rsidRPr="00546FA5" w:rsidRDefault="00546FA5" w:rsidP="00546FA5">
      <w:pPr>
        <w:pStyle w:val="Paragraphedeliste"/>
        <w:numPr>
          <w:ilvl w:val="0"/>
          <w:numId w:val="3"/>
        </w:numPr>
        <w:rPr>
          <w:rFonts w:ascii="Roboto" w:hAnsi="Roboto"/>
        </w:rPr>
      </w:pPr>
      <w:r w:rsidRPr="00546FA5">
        <w:rPr>
          <w:rFonts w:ascii="Roboto" w:hAnsi="Roboto"/>
        </w:rPr>
        <w:t>D’user du droit de vous taire découlant du principe selon lequel nul n’est tenu de s’accuser.</w:t>
      </w:r>
    </w:p>
    <w:p w14:paraId="1CD05801" w14:textId="77777777" w:rsidR="00546FA5" w:rsidRPr="00546FA5" w:rsidRDefault="00546FA5" w:rsidP="00546FA5">
      <w:pPr>
        <w:rPr>
          <w:rFonts w:ascii="Roboto" w:hAnsi="Roboto"/>
        </w:rPr>
      </w:pPr>
      <w:r w:rsidRPr="00546FA5">
        <w:rPr>
          <w:rFonts w:ascii="Roboto" w:hAnsi="Roboto"/>
          <w:i/>
          <w:color w:val="2E74B5" w:themeColor="accent1" w:themeShade="BF"/>
        </w:rPr>
        <w:t xml:space="preserve">(Le cas échéant, facultatif) </w:t>
      </w:r>
      <w:r w:rsidRPr="00546FA5">
        <w:rPr>
          <w:rFonts w:ascii="Roboto" w:hAnsi="Roboto"/>
        </w:rPr>
        <w:t>Dans le cadre de cette procédure, je vous convoque à un entretien préalable qui se déroulera le</w:t>
      </w:r>
      <w:proofErr w:type="gramStart"/>
      <w:r w:rsidRPr="00546FA5">
        <w:rPr>
          <w:rFonts w:ascii="Roboto" w:hAnsi="Roboto"/>
        </w:rPr>
        <w:t xml:space="preserve"> ….</w:t>
      </w:r>
      <w:proofErr w:type="gramEnd"/>
      <w:r w:rsidRPr="00546FA5">
        <w:rPr>
          <w:rFonts w:ascii="Roboto" w:hAnsi="Roboto"/>
        </w:rPr>
        <w:t xml:space="preserve">. </w:t>
      </w:r>
      <w:r w:rsidRPr="00546FA5">
        <w:rPr>
          <w:rFonts w:ascii="Roboto" w:hAnsi="Roboto"/>
          <w:i/>
          <w:color w:val="C45911" w:themeColor="accent2" w:themeShade="BF"/>
        </w:rPr>
        <w:t>(Indiquer la date de l’entretien préalable)</w:t>
      </w:r>
      <w:r w:rsidRPr="00546FA5">
        <w:rPr>
          <w:rFonts w:ascii="Roboto" w:hAnsi="Roboto"/>
          <w:color w:val="2E74B5" w:themeColor="accent1" w:themeShade="BF"/>
        </w:rPr>
        <w:t xml:space="preserve"> </w:t>
      </w:r>
      <w:r w:rsidRPr="00546FA5">
        <w:rPr>
          <w:rFonts w:ascii="Roboto" w:hAnsi="Roboto"/>
        </w:rPr>
        <w:t xml:space="preserve">en présence de … </w:t>
      </w:r>
      <w:r w:rsidRPr="00546FA5">
        <w:rPr>
          <w:rFonts w:ascii="Roboto" w:hAnsi="Roboto"/>
          <w:i/>
          <w:color w:val="C45911" w:themeColor="accent2" w:themeShade="BF"/>
        </w:rPr>
        <w:t>(Indiquer les personnes présentes : maire/président, DGS, DRH, avocat, représentant syndical…)</w:t>
      </w:r>
      <w:r w:rsidRPr="00546FA5">
        <w:rPr>
          <w:rFonts w:ascii="Roboto" w:hAnsi="Roboto"/>
          <w:color w:val="2E74B5" w:themeColor="accent1" w:themeShade="BF"/>
        </w:rPr>
        <w:t xml:space="preserve">, </w:t>
      </w:r>
      <w:r w:rsidRPr="00546FA5">
        <w:rPr>
          <w:rFonts w:ascii="Roboto" w:hAnsi="Roboto"/>
        </w:rPr>
        <w:t xml:space="preserve">durant lequel vous pourrez présenter vos observations ou user du droit de vous taire et vous faire assister des défenseurs de votre choix. </w:t>
      </w:r>
    </w:p>
    <w:p w14:paraId="7FCCE145" w14:textId="77777777" w:rsidR="00546FA5" w:rsidRPr="00546FA5" w:rsidRDefault="00546FA5" w:rsidP="00546FA5">
      <w:pPr>
        <w:rPr>
          <w:rFonts w:ascii="Roboto" w:hAnsi="Roboto"/>
        </w:rPr>
      </w:pPr>
      <w:r w:rsidRPr="00546FA5">
        <w:rPr>
          <w:rFonts w:ascii="Roboto" w:hAnsi="Roboto"/>
        </w:rPr>
        <w:t xml:space="preserve">Je vous invite à contacter </w:t>
      </w:r>
      <w:r w:rsidRPr="00546FA5">
        <w:rPr>
          <w:rFonts w:ascii="Roboto" w:hAnsi="Roboto"/>
          <w:color w:val="2E74B5" w:themeColor="accent1" w:themeShade="BF"/>
        </w:rPr>
        <w:t xml:space="preserve">le service des ressources humaines </w:t>
      </w:r>
      <w:r w:rsidRPr="00546FA5">
        <w:rPr>
          <w:rFonts w:ascii="Roboto" w:hAnsi="Roboto"/>
          <w:i/>
          <w:color w:val="C45911" w:themeColor="accent2" w:themeShade="BF"/>
        </w:rPr>
        <w:t>(Indiquer le service, le ou les interlocuteur(s) et les modalités d’organisation matérielle)</w:t>
      </w:r>
      <w:r w:rsidRPr="00546FA5">
        <w:rPr>
          <w:rFonts w:ascii="Roboto" w:hAnsi="Roboto"/>
          <w:color w:val="C45911" w:themeColor="accent2" w:themeShade="BF"/>
        </w:rPr>
        <w:t xml:space="preserve"> </w:t>
      </w:r>
      <w:r w:rsidRPr="00546FA5">
        <w:rPr>
          <w:rFonts w:ascii="Roboto" w:hAnsi="Roboto"/>
        </w:rPr>
        <w:t xml:space="preserve">pour user de votre droit à la consultation de votre dossier individuel et de tous les documents annexes qui y figurent. </w:t>
      </w:r>
    </w:p>
    <w:p w14:paraId="71EB1C22" w14:textId="77777777" w:rsidR="00546FA5" w:rsidRPr="00546FA5" w:rsidRDefault="00546FA5" w:rsidP="00546FA5">
      <w:pPr>
        <w:rPr>
          <w:rFonts w:ascii="Roboto" w:hAnsi="Roboto"/>
        </w:rPr>
      </w:pPr>
      <w:r w:rsidRPr="00546FA5">
        <w:rPr>
          <w:rFonts w:ascii="Roboto" w:hAnsi="Roboto"/>
        </w:rPr>
        <w:t xml:space="preserve">Je vous prie d’agréer, </w:t>
      </w:r>
      <w:r w:rsidRPr="00546FA5">
        <w:rPr>
          <w:rFonts w:ascii="Roboto" w:hAnsi="Roboto"/>
          <w:color w:val="2E74B5" w:themeColor="accent1" w:themeShade="BF"/>
        </w:rPr>
        <w:t>Madame/Monsieur</w:t>
      </w:r>
      <w:r w:rsidRPr="00546FA5">
        <w:rPr>
          <w:rFonts w:ascii="Roboto" w:hAnsi="Roboto"/>
        </w:rPr>
        <w:t>…………</w:t>
      </w:r>
      <w:proofErr w:type="gramStart"/>
      <w:r w:rsidRPr="00546FA5">
        <w:rPr>
          <w:rFonts w:ascii="Roboto" w:hAnsi="Roboto"/>
        </w:rPr>
        <w:t>…….</w:t>
      </w:r>
      <w:proofErr w:type="gramEnd"/>
      <w:r w:rsidRPr="00546FA5">
        <w:rPr>
          <w:rFonts w:ascii="Roboto" w:hAnsi="Roboto"/>
        </w:rPr>
        <w:t xml:space="preserve">., </w:t>
      </w:r>
      <w:r w:rsidRPr="00546FA5">
        <w:rPr>
          <w:rFonts w:ascii="Roboto" w:hAnsi="Roboto"/>
          <w:i/>
          <w:color w:val="C45911" w:themeColor="accent2" w:themeShade="BF"/>
        </w:rPr>
        <w:t xml:space="preserve">(nom de l’agent) </w:t>
      </w:r>
      <w:r w:rsidRPr="00546FA5">
        <w:rPr>
          <w:rFonts w:ascii="Roboto" w:hAnsi="Roboto"/>
        </w:rPr>
        <w:t xml:space="preserve">l’expression de mes sincères salutations. </w:t>
      </w:r>
    </w:p>
    <w:p w14:paraId="63A33F28" w14:textId="77777777" w:rsidR="00546FA5" w:rsidRPr="00546FA5" w:rsidRDefault="00546FA5" w:rsidP="00546FA5">
      <w:pPr>
        <w:jc w:val="right"/>
        <w:rPr>
          <w:rFonts w:ascii="Roboto" w:hAnsi="Roboto"/>
          <w:color w:val="2E74B5"/>
        </w:rPr>
      </w:pPr>
      <w:r w:rsidRPr="00546FA5">
        <w:rPr>
          <w:rFonts w:ascii="Roboto" w:hAnsi="Roboto"/>
          <w:color w:val="2E74B5" w:themeColor="accent1" w:themeShade="BF"/>
        </w:rPr>
        <w:t xml:space="preserve">Le Maire / Le Président </w:t>
      </w:r>
    </w:p>
    <w:p w14:paraId="08BAD6A6" w14:textId="77777777" w:rsidR="00546FA5" w:rsidRPr="00546FA5" w:rsidRDefault="00546FA5" w:rsidP="00546FA5">
      <w:pPr>
        <w:jc w:val="right"/>
        <w:rPr>
          <w:rFonts w:ascii="Roboto" w:hAnsi="Roboto"/>
        </w:rPr>
      </w:pPr>
      <w:r w:rsidRPr="00546FA5">
        <w:rPr>
          <w:rFonts w:ascii="Roboto" w:hAnsi="Roboto"/>
          <w:i/>
          <w:color w:val="C45911" w:themeColor="accent2" w:themeShade="BF"/>
        </w:rPr>
        <w:t>(Signature)</w:t>
      </w:r>
    </w:p>
    <w:p w14:paraId="02C94E1D" w14:textId="77777777" w:rsidR="00546FA5" w:rsidRPr="00546FA5" w:rsidRDefault="00546FA5" w:rsidP="00546FA5">
      <w:pPr>
        <w:rPr>
          <w:rFonts w:ascii="Roboto" w:hAnsi="Roboto"/>
          <w:i/>
          <w:color w:val="2E74B5"/>
        </w:rPr>
      </w:pPr>
      <w:r w:rsidRPr="00546FA5">
        <w:rPr>
          <w:rFonts w:ascii="Roboto" w:hAnsi="Roboto"/>
          <w:i/>
          <w:color w:val="2E74B5" w:themeColor="accent1" w:themeShade="BF"/>
        </w:rPr>
        <w:t xml:space="preserve">(Le cas échéant) </w:t>
      </w:r>
    </w:p>
    <w:p w14:paraId="7FC65DA9" w14:textId="77777777" w:rsidR="00546FA5" w:rsidRPr="00546FA5" w:rsidRDefault="00546FA5" w:rsidP="00546FA5">
      <w:pPr>
        <w:rPr>
          <w:rFonts w:ascii="Roboto" w:hAnsi="Roboto"/>
          <w:i/>
          <w:color w:val="2E74B5"/>
        </w:rPr>
      </w:pPr>
      <w:r w:rsidRPr="00546FA5">
        <w:rPr>
          <w:rFonts w:ascii="Roboto" w:hAnsi="Roboto"/>
          <w:i/>
          <w:color w:val="2E74B5" w:themeColor="accent1" w:themeShade="BF"/>
        </w:rPr>
        <w:t>Remis en main propre le …….</w:t>
      </w:r>
    </w:p>
    <w:p w14:paraId="78042643" w14:textId="77777777" w:rsidR="00546FA5" w:rsidRPr="00546FA5" w:rsidRDefault="00546FA5" w:rsidP="00546FA5">
      <w:pPr>
        <w:rPr>
          <w:rFonts w:ascii="Roboto" w:hAnsi="Roboto"/>
          <w:i/>
          <w:color w:val="2E74B5"/>
        </w:rPr>
      </w:pPr>
      <w:r w:rsidRPr="00546FA5">
        <w:rPr>
          <w:rFonts w:ascii="Roboto" w:hAnsi="Roboto"/>
          <w:i/>
          <w:color w:val="2E74B5" w:themeColor="accent1" w:themeShade="BF"/>
        </w:rPr>
        <w:t xml:space="preserve">Nom et prénom, signature de l’agent </w:t>
      </w:r>
    </w:p>
    <w:p w14:paraId="523CD1A6" w14:textId="77777777" w:rsidR="00546FA5" w:rsidRPr="00546FA5" w:rsidRDefault="00546FA5" w:rsidP="00546FA5">
      <w:pPr>
        <w:rPr>
          <w:rFonts w:ascii="Roboto" w:hAnsi="Roboto"/>
          <w:i/>
          <w:color w:val="5B9BD5"/>
        </w:rPr>
      </w:pPr>
    </w:p>
    <w:p w14:paraId="0243AA25" w14:textId="77777777" w:rsidR="00546FA5" w:rsidRPr="00546FA5" w:rsidRDefault="00546FA5" w:rsidP="00546FA5">
      <w:pPr>
        <w:rPr>
          <w:rFonts w:ascii="Roboto" w:hAnsi="Roboto"/>
          <w:i/>
          <w:color w:val="5B9BD5"/>
        </w:rPr>
      </w:pPr>
    </w:p>
    <w:p w14:paraId="78E302F0"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i/>
          <w:color w:val="C45911"/>
        </w:rPr>
      </w:pPr>
      <w:r w:rsidRPr="00546FA5">
        <w:rPr>
          <w:rFonts w:ascii="Roboto" w:hAnsi="Roboto"/>
          <w:b/>
          <w:i/>
          <w:color w:val="C45911" w:themeColor="accent2" w:themeShade="BF"/>
        </w:rPr>
        <w:t>Rappels importants</w:t>
      </w:r>
      <w:r w:rsidRPr="00546FA5">
        <w:rPr>
          <w:rFonts w:ascii="Roboto" w:hAnsi="Roboto"/>
          <w:i/>
          <w:color w:val="C45911" w:themeColor="accent2" w:themeShade="BF"/>
        </w:rPr>
        <w:t xml:space="preserve"> : </w:t>
      </w:r>
    </w:p>
    <w:p w14:paraId="37F4A58E"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i/>
          <w:color w:val="C45911"/>
        </w:rPr>
      </w:pPr>
      <w:r w:rsidRPr="00546FA5">
        <w:rPr>
          <w:rFonts w:ascii="Roboto" w:hAnsi="Roboto"/>
          <w:i/>
          <w:color w:val="C45911" w:themeColor="accent2" w:themeShade="BF"/>
          <w:u w:val="single"/>
        </w:rPr>
        <w:t>Sur le caractère facultatif de l’entretien</w:t>
      </w:r>
      <w:r w:rsidRPr="00546FA5">
        <w:rPr>
          <w:rFonts w:ascii="Roboto" w:hAnsi="Roboto"/>
          <w:i/>
          <w:color w:val="C45911" w:themeColor="accent2" w:themeShade="BF"/>
        </w:rPr>
        <w:t xml:space="preserve"> : l’entretien n’est pas obligatoire dans la procédure disciplinaire mais peut être conseillé, notamment pour permettre à l’agent de présenter ses observations. </w:t>
      </w:r>
    </w:p>
    <w:p w14:paraId="3F800670"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color w:val="C45911"/>
        </w:rPr>
      </w:pPr>
      <w:r w:rsidRPr="00546FA5">
        <w:rPr>
          <w:rFonts w:ascii="Roboto" w:hAnsi="Roboto"/>
          <w:i/>
          <w:color w:val="C45911" w:themeColor="accent2" w:themeShade="BF"/>
          <w:u w:val="single"/>
        </w:rPr>
        <w:t>Sur l’importance de rappeler le « droit de se taire » :</w:t>
      </w:r>
      <w:r w:rsidRPr="00546FA5">
        <w:rPr>
          <w:rFonts w:ascii="Roboto" w:hAnsi="Roboto"/>
          <w:i/>
          <w:color w:val="C45911" w:themeColor="accent2" w:themeShade="BF"/>
        </w:rPr>
        <w:t xml:space="preserve"> Il est important de rappeler à l’agent dans la convocation écrite à cet entretien préalable qu’il peut s’exprimer ou user du droit qu’il a de se taire. Le « droit de se taire » résulte du principe selon lequel nul n’est tenu de s’accuser. Cela implique que l’agent faisant l’objet de poursuites disciplinaires ne peut être entendu sur les manquements qui lui sont reprochés sans qu’il soit préalablement informé du droit qu’il a de se taire. Cet élément est important car l’absence d’information sur le « droit de se taire » prive l’agent d’une garantie susceptible de vicier la procédure disciplinaire</w:t>
      </w:r>
      <w:r w:rsidRPr="00546FA5">
        <w:rPr>
          <w:rFonts w:ascii="Roboto" w:hAnsi="Roboto"/>
          <w:color w:val="C45911" w:themeColor="accent2" w:themeShade="BF"/>
        </w:rPr>
        <w:t>.</w:t>
      </w:r>
    </w:p>
    <w:p w14:paraId="2D83C5F7"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i/>
          <w:color w:val="C45911"/>
        </w:rPr>
      </w:pPr>
      <w:r w:rsidRPr="00546FA5">
        <w:rPr>
          <w:rFonts w:ascii="Roboto" w:hAnsi="Roboto"/>
          <w:i/>
          <w:color w:val="C45911" w:themeColor="accent2" w:themeShade="BF"/>
        </w:rPr>
        <w:t xml:space="preserve">Si l’entretien disciplinaire est organisé après l’envoi du courrier d’engagement de la procédure disciplinaire, ces éléments ne devront pas être omis dans le courrier de convocation. </w:t>
      </w:r>
    </w:p>
    <w:p w14:paraId="334E4EF3"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i/>
          <w:color w:val="C45911"/>
        </w:rPr>
      </w:pPr>
      <w:r w:rsidRPr="00546FA5">
        <w:rPr>
          <w:rFonts w:ascii="Roboto" w:hAnsi="Roboto"/>
          <w:i/>
          <w:color w:val="C45911" w:themeColor="accent2" w:themeShade="BF"/>
          <w:u w:val="single"/>
        </w:rPr>
        <w:t>Sur la temporalité de l’entretien préalable</w:t>
      </w:r>
      <w:r w:rsidRPr="00546FA5">
        <w:rPr>
          <w:rFonts w:ascii="Roboto" w:hAnsi="Roboto"/>
          <w:i/>
          <w:color w:val="C45911" w:themeColor="accent2" w:themeShade="BF"/>
        </w:rPr>
        <w:t> : un tel entretien est organisé après l’engagement écrit de la procédure disciplinaire et l’information de l’agent sur l’ensemble de ses droits. Si l’agent est reçu avant l’engagement de la procédure disciplinaire, c’est alors dans le cadre d’une enquête administrative visant seulement à recueillir les faits.</w:t>
      </w:r>
    </w:p>
    <w:p w14:paraId="5E379F49" w14:textId="77777777" w:rsidR="00546FA5" w:rsidRPr="00546FA5" w:rsidRDefault="00546FA5" w:rsidP="00546FA5">
      <w:pPr>
        <w:pBdr>
          <w:top w:val="single" w:sz="4" w:space="1" w:color="auto"/>
          <w:left w:val="single" w:sz="4" w:space="4" w:color="auto"/>
          <w:bottom w:val="single" w:sz="4" w:space="1" w:color="auto"/>
          <w:right w:val="single" w:sz="4" w:space="4" w:color="auto"/>
        </w:pBdr>
        <w:rPr>
          <w:rFonts w:ascii="Roboto" w:hAnsi="Roboto"/>
          <w:i/>
        </w:rPr>
      </w:pPr>
      <w:r w:rsidRPr="00546FA5">
        <w:rPr>
          <w:rFonts w:ascii="Roboto" w:hAnsi="Roboto"/>
          <w:i/>
          <w:color w:val="C45911" w:themeColor="accent2" w:themeShade="BF"/>
          <w:u w:val="single"/>
        </w:rPr>
        <w:t xml:space="preserve">Sur la temporalité de l’intervention de la décision de sanction : </w:t>
      </w:r>
      <w:r w:rsidRPr="00546FA5">
        <w:rPr>
          <w:rFonts w:ascii="Roboto" w:hAnsi="Roboto"/>
          <w:i/>
          <w:color w:val="C45911" w:themeColor="accent2" w:themeShade="BF"/>
        </w:rPr>
        <w:t>il est important de</w:t>
      </w:r>
      <w:r w:rsidRPr="00546FA5">
        <w:rPr>
          <w:rFonts w:ascii="Roboto" w:hAnsi="Roboto"/>
          <w:color w:val="C45911" w:themeColor="accent2" w:themeShade="BF"/>
        </w:rPr>
        <w:t xml:space="preserve"> </w:t>
      </w:r>
      <w:r w:rsidRPr="00546FA5">
        <w:rPr>
          <w:rFonts w:ascii="Roboto" w:hAnsi="Roboto"/>
          <w:i/>
          <w:color w:val="C45911" w:themeColor="accent2" w:themeShade="BF"/>
        </w:rPr>
        <w:t>rappeler que l’agent doit disposer d'un délai suffisant pour prendre connaissance de son dossier et, à la suite, organiser sa défense (les pièces du dossier et les documents annexés doivent être numérotés). La décision de sanction ne peut donc intervenir qu’après un délai suffisant et raisonnable pour permettre à l’agent de se défendre.</w:t>
      </w:r>
    </w:p>
    <w:p w14:paraId="46240C97" w14:textId="77777777" w:rsidR="002926C2" w:rsidRPr="00546FA5" w:rsidRDefault="002926C2" w:rsidP="002926C2">
      <w:pPr>
        <w:rPr>
          <w:rFonts w:ascii="Roboto" w:hAnsi="Roboto"/>
        </w:rPr>
      </w:pPr>
    </w:p>
    <w:p w14:paraId="30C58BA8" w14:textId="77777777" w:rsidR="00546FA5" w:rsidRPr="00546FA5" w:rsidRDefault="00546FA5" w:rsidP="002926C2">
      <w:pPr>
        <w:rPr>
          <w:rFonts w:ascii="Roboto" w:hAnsi="Roboto"/>
        </w:rPr>
      </w:pPr>
    </w:p>
    <w:p w14:paraId="524B6DCF" w14:textId="77777777" w:rsidR="00546FA5" w:rsidRPr="008C2715" w:rsidRDefault="00546FA5" w:rsidP="00546FA5">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line="100" w:lineRule="atLeast"/>
        <w:jc w:val="center"/>
        <w:rPr>
          <w:rFonts w:ascii="Roboto" w:eastAsia="Calibri" w:hAnsi="Roboto" w:cs="Arial"/>
          <w:b/>
          <w:sz w:val="18"/>
          <w:szCs w:val="18"/>
        </w:rPr>
      </w:pPr>
      <w:r w:rsidRPr="008C2715">
        <w:rPr>
          <w:rFonts w:ascii="Roboto" w:eastAsia="Calibri" w:hAnsi="Roboto" w:cs="Arial"/>
          <w:b/>
          <w:sz w:val="18"/>
          <w:szCs w:val="18"/>
        </w:rPr>
        <w:t>Comment compléter ce modèle de courrier ?</w:t>
      </w:r>
    </w:p>
    <w:p w14:paraId="32C06FA6" w14:textId="77777777" w:rsidR="00546FA5" w:rsidRPr="008C2715" w:rsidRDefault="00546FA5" w:rsidP="00546FA5">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line="100" w:lineRule="atLeast"/>
        <w:rPr>
          <w:rFonts w:ascii="Roboto" w:eastAsia="Calibri" w:hAnsi="Roboto" w:cs="Arial"/>
          <w:sz w:val="18"/>
          <w:szCs w:val="18"/>
        </w:rPr>
      </w:pPr>
      <w:r w:rsidRPr="008C2715">
        <w:rPr>
          <w:rFonts w:ascii="Roboto" w:eastAsia="Calibri" w:hAnsi="Roboto" w:cs="Arial"/>
          <w:color w:val="2E74B5" w:themeColor="accent1" w:themeShade="BF"/>
          <w:sz w:val="18"/>
          <w:szCs w:val="18"/>
        </w:rPr>
        <w:t xml:space="preserve">Les éléments en bleu </w:t>
      </w:r>
      <w:r w:rsidRPr="008C2715">
        <w:rPr>
          <w:rFonts w:ascii="Roboto" w:eastAsia="Calibri" w:hAnsi="Roboto" w:cs="Arial"/>
          <w:sz w:val="18"/>
          <w:szCs w:val="18"/>
        </w:rPr>
        <w:t>ne doivent être conservés dans le courrier que si la collectivité est concernée.</w:t>
      </w:r>
    </w:p>
    <w:p w14:paraId="1B87F7CB" w14:textId="77777777" w:rsidR="00546FA5" w:rsidRPr="008C2715" w:rsidRDefault="00546FA5" w:rsidP="00546FA5">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line="100" w:lineRule="atLeast"/>
        <w:rPr>
          <w:rFonts w:ascii="Roboto" w:eastAsia="Calibri" w:hAnsi="Roboto" w:cs="Arial"/>
          <w:sz w:val="18"/>
          <w:szCs w:val="18"/>
        </w:rPr>
      </w:pPr>
      <w:r w:rsidRPr="008C2715">
        <w:rPr>
          <w:rFonts w:ascii="Roboto" w:eastAsia="Calibri" w:hAnsi="Roboto" w:cs="Arial"/>
          <w:color w:val="C45911" w:themeColor="accent2" w:themeShade="BF"/>
          <w:sz w:val="18"/>
          <w:szCs w:val="18"/>
        </w:rPr>
        <w:t>Les éléments en orange</w:t>
      </w:r>
      <w:r w:rsidRPr="008C2715">
        <w:rPr>
          <w:rFonts w:ascii="Roboto" w:eastAsia="Calibri" w:hAnsi="Roboto" w:cs="Arial"/>
          <w:sz w:val="18"/>
          <w:szCs w:val="18"/>
        </w:rPr>
        <w:t xml:space="preserve"> visent à expliciter les différents contenus, et doivent être supprimés du courrier final.</w:t>
      </w:r>
    </w:p>
    <w:p w14:paraId="7439E99E" w14:textId="09FF52D9" w:rsidR="0054417D" w:rsidRPr="00546FA5" w:rsidRDefault="00F2320D" w:rsidP="008C2715">
      <w:pPr>
        <w:jc w:val="center"/>
        <w:rPr>
          <w:rFonts w:ascii="Roboto" w:hAnsi="Roboto"/>
          <w:sz w:val="24"/>
          <w:szCs w:val="24"/>
        </w:rPr>
      </w:pPr>
      <w:r w:rsidRPr="00546FA5">
        <w:rPr>
          <w:rFonts w:ascii="Roboto" w:hAnsi="Roboto"/>
          <w:noProof/>
          <w:sz w:val="24"/>
          <w:szCs w:val="24"/>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sectPr w:rsidR="0054417D" w:rsidRPr="00546FA5" w:rsidSect="00027D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D3F7" w14:textId="77777777" w:rsidR="00B46965" w:rsidRDefault="00B46965" w:rsidP="00E66A52">
      <w:r>
        <w:separator/>
      </w:r>
    </w:p>
  </w:endnote>
  <w:endnote w:type="continuationSeparator" w:id="0">
    <w:p w14:paraId="3123A4A5" w14:textId="77777777" w:rsidR="00B46965" w:rsidRDefault="00B46965"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79ED" w14:textId="77777777" w:rsidR="002926C2" w:rsidRDefault="002926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015549E1"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155FE4BF" w14:textId="77777777" w:rsidR="00CE784D" w:rsidRPr="00BF6806" w:rsidRDefault="00CE784D" w:rsidP="00CE784D">
                          <w:pPr>
                            <w:jc w:val="center"/>
                            <w:rPr>
                              <w:rFonts w:ascii="Roboto" w:hAnsi="Roboto"/>
                            </w:rPr>
                          </w:pPr>
                          <w:r w:rsidRPr="00BF6806">
                            <w:rPr>
                              <w:rFonts w:ascii="Roboto" w:hAnsi="Roboto"/>
                            </w:rPr>
                            <w:t>Pôle Ressources Humaines</w:t>
                          </w:r>
                        </w:p>
                        <w:p w14:paraId="6EF4769D" w14:textId="5ABCBB07"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155FE4BF" w14:textId="77777777" w:rsidR="00CE784D" w:rsidRPr="00BF6806" w:rsidRDefault="00CE784D" w:rsidP="00CE784D">
                    <w:pPr>
                      <w:jc w:val="center"/>
                      <w:rPr>
                        <w:rFonts w:ascii="Roboto" w:hAnsi="Roboto"/>
                      </w:rPr>
                    </w:pPr>
                    <w:r w:rsidRPr="00BF6806">
                      <w:rPr>
                        <w:rFonts w:ascii="Roboto" w:hAnsi="Roboto"/>
                      </w:rPr>
                      <w:t>Pôle Ressources Humaines</w:t>
                    </w:r>
                  </w:p>
                  <w:p w14:paraId="6EF4769D" w14:textId="5ABCBB07"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2926C2">
      <w:rPr>
        <w:rFonts w:ascii="Roboto" w:hAnsi="Roboto" w:cs="Arial"/>
      </w:rPr>
      <w:t>Juillet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CE784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CE784D">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563" w14:textId="77777777" w:rsidR="002926C2" w:rsidRDefault="002926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A363" w14:textId="77777777" w:rsidR="00B46965" w:rsidRDefault="00B46965" w:rsidP="00E66A52">
      <w:r>
        <w:separator/>
      </w:r>
    </w:p>
  </w:footnote>
  <w:footnote w:type="continuationSeparator" w:id="0">
    <w:p w14:paraId="6F49CD73" w14:textId="77777777" w:rsidR="00B46965" w:rsidRDefault="00B46965"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7DBA" w14:textId="77777777" w:rsidR="002926C2" w:rsidRDefault="002926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1343" w14:textId="77777777" w:rsidR="002926C2" w:rsidRDefault="002926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BE"/>
    <w:multiLevelType w:val="hybridMultilevel"/>
    <w:tmpl w:val="7310C6C4"/>
    <w:lvl w:ilvl="0" w:tplc="F886C026">
      <w:start w:val="13"/>
      <w:numFmt w:val="bullet"/>
      <w:lvlText w:val="-"/>
      <w:lvlJc w:val="left"/>
      <w:pPr>
        <w:ind w:left="720" w:hanging="359"/>
      </w:pPr>
      <w:rPr>
        <w:rFonts w:ascii="Arial" w:eastAsia="Times New Roman" w:hAnsi="Arial" w:cs="Arial" w:hint="default"/>
      </w:rPr>
    </w:lvl>
    <w:lvl w:ilvl="1" w:tplc="0BECCBD8">
      <w:start w:val="1"/>
      <w:numFmt w:val="bullet"/>
      <w:lvlText w:val="o"/>
      <w:lvlJc w:val="left"/>
      <w:pPr>
        <w:ind w:left="1440" w:hanging="359"/>
      </w:pPr>
      <w:rPr>
        <w:rFonts w:ascii="Courier New" w:hAnsi="Courier New" w:cs="Courier New" w:hint="default"/>
      </w:rPr>
    </w:lvl>
    <w:lvl w:ilvl="2" w:tplc="BE126208">
      <w:start w:val="1"/>
      <w:numFmt w:val="bullet"/>
      <w:lvlText w:val=""/>
      <w:lvlJc w:val="left"/>
      <w:pPr>
        <w:ind w:left="2160" w:hanging="359"/>
      </w:pPr>
      <w:rPr>
        <w:rFonts w:ascii="Wingdings" w:hAnsi="Wingdings" w:hint="default"/>
      </w:rPr>
    </w:lvl>
    <w:lvl w:ilvl="3" w:tplc="62D0527E">
      <w:start w:val="1"/>
      <w:numFmt w:val="bullet"/>
      <w:lvlText w:val=""/>
      <w:lvlJc w:val="left"/>
      <w:pPr>
        <w:ind w:left="2880" w:hanging="359"/>
      </w:pPr>
      <w:rPr>
        <w:rFonts w:ascii="Symbol" w:hAnsi="Symbol" w:hint="default"/>
      </w:rPr>
    </w:lvl>
    <w:lvl w:ilvl="4" w:tplc="0A76A2CE">
      <w:start w:val="1"/>
      <w:numFmt w:val="bullet"/>
      <w:lvlText w:val="o"/>
      <w:lvlJc w:val="left"/>
      <w:pPr>
        <w:ind w:left="3600" w:hanging="359"/>
      </w:pPr>
      <w:rPr>
        <w:rFonts w:ascii="Courier New" w:hAnsi="Courier New" w:cs="Courier New" w:hint="default"/>
      </w:rPr>
    </w:lvl>
    <w:lvl w:ilvl="5" w:tplc="37201AD8">
      <w:start w:val="1"/>
      <w:numFmt w:val="bullet"/>
      <w:lvlText w:val=""/>
      <w:lvlJc w:val="left"/>
      <w:pPr>
        <w:ind w:left="4320" w:hanging="359"/>
      </w:pPr>
      <w:rPr>
        <w:rFonts w:ascii="Wingdings" w:hAnsi="Wingdings" w:hint="default"/>
      </w:rPr>
    </w:lvl>
    <w:lvl w:ilvl="6" w:tplc="5268E7F4">
      <w:start w:val="1"/>
      <w:numFmt w:val="bullet"/>
      <w:lvlText w:val=""/>
      <w:lvlJc w:val="left"/>
      <w:pPr>
        <w:ind w:left="5040" w:hanging="359"/>
      </w:pPr>
      <w:rPr>
        <w:rFonts w:ascii="Symbol" w:hAnsi="Symbol" w:hint="default"/>
      </w:rPr>
    </w:lvl>
    <w:lvl w:ilvl="7" w:tplc="271E2DFE">
      <w:start w:val="1"/>
      <w:numFmt w:val="bullet"/>
      <w:lvlText w:val="o"/>
      <w:lvlJc w:val="left"/>
      <w:pPr>
        <w:ind w:left="5760" w:hanging="359"/>
      </w:pPr>
      <w:rPr>
        <w:rFonts w:ascii="Courier New" w:hAnsi="Courier New" w:cs="Courier New" w:hint="default"/>
      </w:rPr>
    </w:lvl>
    <w:lvl w:ilvl="8" w:tplc="B2F0158C">
      <w:start w:val="1"/>
      <w:numFmt w:val="bullet"/>
      <w:lvlText w:val=""/>
      <w:lvlJc w:val="left"/>
      <w:pPr>
        <w:ind w:left="6480" w:hanging="359"/>
      </w:pPr>
      <w:rPr>
        <w:rFonts w:ascii="Wingdings" w:hAnsi="Wingdings" w:hint="default"/>
      </w:rPr>
    </w:lvl>
  </w:abstractNum>
  <w:abstractNum w:abstractNumId="1" w15:restartNumberingAfterBreak="0">
    <w:nsid w:val="26A7059D"/>
    <w:multiLevelType w:val="hybridMultilevel"/>
    <w:tmpl w:val="C416349A"/>
    <w:lvl w:ilvl="0" w:tplc="B4021DE2">
      <w:numFmt w:val="bullet"/>
      <w:lvlText w:val="-"/>
      <w:lvlJc w:val="left"/>
      <w:pPr>
        <w:tabs>
          <w:tab w:val="num" w:pos="1068"/>
        </w:tabs>
        <w:ind w:left="1068" w:hanging="360"/>
      </w:pPr>
      <w:rPr>
        <w:rFonts w:ascii="Trebuchet MS" w:eastAsia="Times New Roman" w:hAnsi="Trebuchet MS" w:cs="Times New Roman" w:hint="default"/>
      </w:rPr>
    </w:lvl>
    <w:lvl w:ilvl="1" w:tplc="040C0003" w:tentative="1">
      <w:start w:val="1"/>
      <w:numFmt w:val="bullet"/>
      <w:lvlText w:val="o"/>
      <w:lvlJc w:val="left"/>
      <w:pPr>
        <w:tabs>
          <w:tab w:val="num" w:pos="1788"/>
        </w:tabs>
        <w:ind w:left="1788" w:hanging="360"/>
      </w:pPr>
      <w:rPr>
        <w:rFonts w:ascii="Courier New" w:hAnsi="Courier New" w:cs="Web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Webding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Webding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B743636"/>
    <w:multiLevelType w:val="hybridMultilevel"/>
    <w:tmpl w:val="EA6AA004"/>
    <w:lvl w:ilvl="0" w:tplc="5B1468A8">
      <w:start w:val="1"/>
      <w:numFmt w:val="upperRoman"/>
      <w:pStyle w:val="Titre1"/>
      <w:lvlText w:val="%1."/>
      <w:lvlJc w:val="left"/>
      <w:pPr>
        <w:tabs>
          <w:tab w:val="left" w:pos="360"/>
        </w:tabs>
        <w:ind w:left="0" w:firstLine="0"/>
      </w:pPr>
    </w:lvl>
    <w:lvl w:ilvl="1" w:tplc="4B94DD24">
      <w:start w:val="1"/>
      <w:numFmt w:val="upperLetter"/>
      <w:pStyle w:val="Titre2"/>
      <w:lvlText w:val="%2."/>
      <w:lvlJc w:val="left"/>
      <w:pPr>
        <w:tabs>
          <w:tab w:val="left" w:pos="360"/>
        </w:tabs>
        <w:ind w:left="0" w:firstLine="0"/>
      </w:pPr>
    </w:lvl>
    <w:lvl w:ilvl="2" w:tplc="56BE23B8">
      <w:start w:val="1"/>
      <w:numFmt w:val="none"/>
      <w:pStyle w:val="Titre3"/>
      <w:suff w:val="nothing"/>
      <w:lvlText w:val=""/>
      <w:lvlJc w:val="left"/>
      <w:pPr>
        <w:ind w:left="0" w:firstLine="0"/>
      </w:pPr>
    </w:lvl>
    <w:lvl w:ilvl="3" w:tplc="9DD6ABC2">
      <w:start w:val="1"/>
      <w:numFmt w:val="none"/>
      <w:pStyle w:val="Titre4"/>
      <w:suff w:val="nothing"/>
      <w:lvlText w:val=""/>
      <w:lvlJc w:val="left"/>
      <w:pPr>
        <w:ind w:left="0" w:firstLine="0"/>
      </w:pPr>
    </w:lvl>
    <w:lvl w:ilvl="4" w:tplc="B6F0CB68">
      <w:start w:val="1"/>
      <w:numFmt w:val="decimal"/>
      <w:lvlText w:val="(%5)"/>
      <w:lvlJc w:val="left"/>
      <w:pPr>
        <w:tabs>
          <w:tab w:val="left" w:pos="3240"/>
        </w:tabs>
        <w:ind w:left="2880" w:firstLine="0"/>
      </w:pPr>
    </w:lvl>
    <w:lvl w:ilvl="5" w:tplc="D366905A">
      <w:start w:val="1"/>
      <w:numFmt w:val="lowerLetter"/>
      <w:lvlText w:val="(%6)"/>
      <w:lvlJc w:val="left"/>
      <w:pPr>
        <w:tabs>
          <w:tab w:val="left" w:pos="3960"/>
        </w:tabs>
        <w:ind w:left="3600" w:firstLine="0"/>
      </w:pPr>
    </w:lvl>
    <w:lvl w:ilvl="6" w:tplc="5BD0B62A">
      <w:start w:val="1"/>
      <w:numFmt w:val="lowerRoman"/>
      <w:lvlText w:val="(%7)"/>
      <w:lvlJc w:val="left"/>
      <w:pPr>
        <w:tabs>
          <w:tab w:val="left" w:pos="4680"/>
        </w:tabs>
        <w:ind w:left="4320" w:firstLine="0"/>
      </w:pPr>
    </w:lvl>
    <w:lvl w:ilvl="7" w:tplc="0D5A79EC">
      <w:start w:val="1"/>
      <w:numFmt w:val="lowerLetter"/>
      <w:lvlText w:val="(%8)"/>
      <w:lvlJc w:val="left"/>
      <w:pPr>
        <w:tabs>
          <w:tab w:val="left" w:pos="5400"/>
        </w:tabs>
        <w:ind w:left="5040" w:firstLine="0"/>
      </w:pPr>
    </w:lvl>
    <w:lvl w:ilvl="8" w:tplc="DFAC6412">
      <w:start w:val="1"/>
      <w:numFmt w:val="lowerRoman"/>
      <w:lvlText w:val="(%9)"/>
      <w:lvlJc w:val="left"/>
      <w:pPr>
        <w:tabs>
          <w:tab w:val="left" w:pos="6120"/>
        </w:tabs>
        <w:ind w:left="5760" w:firstLine="0"/>
      </w:pPr>
    </w:lvl>
  </w:abstractNum>
  <w:num w:numId="1" w16cid:durableId="1976176433">
    <w:abstractNumId w:val="1"/>
  </w:num>
  <w:num w:numId="2" w16cid:durableId="1964192932">
    <w:abstractNumId w:val="2"/>
  </w:num>
  <w:num w:numId="3" w16cid:durableId="6069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D5106"/>
    <w:rsid w:val="00156D3A"/>
    <w:rsid w:val="00187D12"/>
    <w:rsid w:val="001921D7"/>
    <w:rsid w:val="002926C2"/>
    <w:rsid w:val="00422F59"/>
    <w:rsid w:val="0042321E"/>
    <w:rsid w:val="004F1260"/>
    <w:rsid w:val="0054417D"/>
    <w:rsid w:val="00546FA5"/>
    <w:rsid w:val="005F7A90"/>
    <w:rsid w:val="00662ABF"/>
    <w:rsid w:val="007168C6"/>
    <w:rsid w:val="008B1A4B"/>
    <w:rsid w:val="008C2715"/>
    <w:rsid w:val="008E3383"/>
    <w:rsid w:val="008F414C"/>
    <w:rsid w:val="009A587A"/>
    <w:rsid w:val="009B4CA4"/>
    <w:rsid w:val="009B6093"/>
    <w:rsid w:val="009F38E9"/>
    <w:rsid w:val="00B46965"/>
    <w:rsid w:val="00B60641"/>
    <w:rsid w:val="00BF6806"/>
    <w:rsid w:val="00C75052"/>
    <w:rsid w:val="00CA1181"/>
    <w:rsid w:val="00CE784D"/>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84D"/>
  </w:style>
  <w:style w:type="paragraph" w:styleId="Titre1">
    <w:name w:val="heading 1"/>
    <w:basedOn w:val="Normal"/>
    <w:next w:val="Normal"/>
    <w:link w:val="Titre1Car"/>
    <w:qFormat/>
    <w:rsid w:val="00546FA5"/>
    <w:pPr>
      <w:keepNext/>
      <w:numPr>
        <w:numId w:val="2"/>
      </w:numPr>
      <w:pBdr>
        <w:top w:val="none" w:sz="4" w:space="0" w:color="000000"/>
        <w:left w:val="none" w:sz="4" w:space="0" w:color="000000"/>
        <w:bottom w:val="none" w:sz="4" w:space="0" w:color="000000"/>
        <w:right w:val="none" w:sz="4" w:space="0" w:color="000000"/>
        <w:between w:val="none" w:sz="4" w:space="0" w:color="000000"/>
      </w:pBdr>
      <w:spacing w:before="450" w:after="227" w:line="320" w:lineRule="exact"/>
      <w:outlineLvl w:val="0"/>
    </w:pPr>
    <w:rPr>
      <w:rFonts w:ascii="Arial" w:eastAsia="Times New Roman" w:hAnsi="Arial" w:cs="Times New Roman"/>
      <w:b/>
      <w:sz w:val="32"/>
      <w:lang w:eastAsia="fr-FR"/>
    </w:rPr>
  </w:style>
  <w:style w:type="paragraph" w:styleId="Titre2">
    <w:name w:val="heading 2"/>
    <w:basedOn w:val="Normal"/>
    <w:next w:val="Normal"/>
    <w:link w:val="Titre2Car"/>
    <w:qFormat/>
    <w:rsid w:val="00546FA5"/>
    <w:pPr>
      <w:keepNext/>
      <w:numPr>
        <w:ilvl w:val="1"/>
        <w:numId w:val="2"/>
      </w:numPr>
      <w:pBdr>
        <w:top w:val="none" w:sz="4" w:space="0" w:color="000000"/>
        <w:left w:val="none" w:sz="4" w:space="0" w:color="000000"/>
        <w:bottom w:val="none" w:sz="4" w:space="0" w:color="000000"/>
        <w:right w:val="none" w:sz="4" w:space="0" w:color="000000"/>
        <w:between w:val="none" w:sz="4" w:space="0" w:color="000000"/>
      </w:pBdr>
      <w:spacing w:after="170" w:line="320" w:lineRule="exact"/>
      <w:outlineLvl w:val="1"/>
    </w:pPr>
    <w:rPr>
      <w:rFonts w:ascii="Arial" w:eastAsia="Times New Roman" w:hAnsi="Arial" w:cs="Times New Roman"/>
      <w:b/>
      <w:sz w:val="26"/>
      <w:lang w:eastAsia="fr-FR"/>
    </w:rPr>
  </w:style>
  <w:style w:type="paragraph" w:styleId="Titre3">
    <w:name w:val="heading 3"/>
    <w:basedOn w:val="Normal"/>
    <w:next w:val="Normal"/>
    <w:link w:val="Titre3Car"/>
    <w:qFormat/>
    <w:rsid w:val="00546FA5"/>
    <w:pPr>
      <w:keepNext/>
      <w:numPr>
        <w:ilvl w:val="2"/>
        <w:numId w:val="2"/>
      </w:numPr>
      <w:pBdr>
        <w:top w:val="none" w:sz="4" w:space="0" w:color="000000"/>
        <w:left w:val="none" w:sz="4" w:space="0" w:color="000000"/>
        <w:bottom w:val="none" w:sz="4" w:space="0" w:color="000000"/>
        <w:right w:val="none" w:sz="4" w:space="0" w:color="000000"/>
        <w:between w:val="none" w:sz="4" w:space="0" w:color="000000"/>
      </w:pBdr>
      <w:spacing w:after="170" w:line="320" w:lineRule="exact"/>
      <w:outlineLvl w:val="2"/>
    </w:pPr>
    <w:rPr>
      <w:rFonts w:ascii="Arial" w:eastAsia="Times New Roman" w:hAnsi="Arial" w:cs="Times New Roman"/>
      <w:sz w:val="26"/>
      <w:lang w:eastAsia="fr-FR"/>
    </w:rPr>
  </w:style>
  <w:style w:type="paragraph" w:styleId="Titre4">
    <w:name w:val="heading 4"/>
    <w:basedOn w:val="Normal"/>
    <w:next w:val="Normal"/>
    <w:link w:val="Titre4Car"/>
    <w:qFormat/>
    <w:rsid w:val="00546FA5"/>
    <w:pPr>
      <w:keepNext/>
      <w:numPr>
        <w:ilvl w:val="3"/>
        <w:numId w:val="2"/>
      </w:numPr>
      <w:pBdr>
        <w:top w:val="none" w:sz="4" w:space="0" w:color="000000"/>
        <w:left w:val="none" w:sz="4" w:space="0" w:color="000000"/>
        <w:bottom w:val="none" w:sz="4" w:space="0" w:color="000000"/>
        <w:right w:val="none" w:sz="4" w:space="0" w:color="000000"/>
        <w:between w:val="none" w:sz="4" w:space="0" w:color="000000"/>
      </w:pBdr>
      <w:spacing w:after="112" w:line="320" w:lineRule="exact"/>
      <w:outlineLvl w:val="3"/>
    </w:pPr>
    <w:rPr>
      <w:rFonts w:ascii="Arial" w:eastAsia="Times New Roman" w:hAnsi="Arial" w:cs="Times New Roman"/>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2926C2"/>
    <w:pPr>
      <w:ind w:left="426" w:hanging="142"/>
    </w:pPr>
    <w:rPr>
      <w:rFonts w:ascii="Times" w:eastAsia="Times" w:hAnsi="Times" w:cs="Times New Roman"/>
      <w:color w:val="000000"/>
      <w:sz w:val="24"/>
      <w:szCs w:val="20"/>
      <w:lang w:eastAsia="fr-FR"/>
    </w:rPr>
  </w:style>
  <w:style w:type="character" w:customStyle="1" w:styleId="RetraitcorpsdetexteCar">
    <w:name w:val="Retrait corps de texte Car"/>
    <w:basedOn w:val="Policepardfaut"/>
    <w:link w:val="Retraitcorpsdetexte"/>
    <w:rsid w:val="002926C2"/>
    <w:rPr>
      <w:rFonts w:ascii="Times" w:eastAsia="Times" w:hAnsi="Times" w:cs="Times New Roman"/>
      <w:color w:val="000000"/>
      <w:sz w:val="24"/>
      <w:szCs w:val="20"/>
      <w:lang w:eastAsia="fr-FR"/>
    </w:rPr>
  </w:style>
  <w:style w:type="character" w:customStyle="1" w:styleId="Titre1Car">
    <w:name w:val="Titre 1 Car"/>
    <w:basedOn w:val="Policepardfaut"/>
    <w:link w:val="Titre1"/>
    <w:rsid w:val="00546FA5"/>
    <w:rPr>
      <w:rFonts w:ascii="Arial" w:eastAsia="Times New Roman" w:hAnsi="Arial" w:cs="Times New Roman"/>
      <w:b/>
      <w:sz w:val="32"/>
      <w:lang w:eastAsia="fr-FR"/>
    </w:rPr>
  </w:style>
  <w:style w:type="character" w:customStyle="1" w:styleId="Titre2Car">
    <w:name w:val="Titre 2 Car"/>
    <w:basedOn w:val="Policepardfaut"/>
    <w:link w:val="Titre2"/>
    <w:rsid w:val="00546FA5"/>
    <w:rPr>
      <w:rFonts w:ascii="Arial" w:eastAsia="Times New Roman" w:hAnsi="Arial" w:cs="Times New Roman"/>
      <w:b/>
      <w:sz w:val="26"/>
      <w:lang w:eastAsia="fr-FR"/>
    </w:rPr>
  </w:style>
  <w:style w:type="character" w:customStyle="1" w:styleId="Titre3Car">
    <w:name w:val="Titre 3 Car"/>
    <w:basedOn w:val="Policepardfaut"/>
    <w:link w:val="Titre3"/>
    <w:rsid w:val="00546FA5"/>
    <w:rPr>
      <w:rFonts w:ascii="Arial" w:eastAsia="Times New Roman" w:hAnsi="Arial" w:cs="Times New Roman"/>
      <w:sz w:val="26"/>
      <w:lang w:eastAsia="fr-FR"/>
    </w:rPr>
  </w:style>
  <w:style w:type="character" w:customStyle="1" w:styleId="Titre4Car">
    <w:name w:val="Titre 4 Car"/>
    <w:basedOn w:val="Policepardfaut"/>
    <w:link w:val="Titre4"/>
    <w:rsid w:val="00546FA5"/>
    <w:rPr>
      <w:rFonts w:ascii="Arial" w:eastAsia="Times New Roman" w:hAnsi="Arial" w:cs="Times New Roman"/>
      <w:sz w:val="24"/>
      <w:lang w:eastAsia="fr-FR"/>
    </w:rPr>
  </w:style>
  <w:style w:type="paragraph" w:styleId="Paragraphedeliste">
    <w:name w:val="List Paragraph"/>
    <w:basedOn w:val="Normal"/>
    <w:uiPriority w:val="34"/>
    <w:qFormat/>
    <w:rsid w:val="00546FA5"/>
    <w:pPr>
      <w:pBdr>
        <w:top w:val="none" w:sz="4" w:space="0" w:color="000000"/>
        <w:left w:val="none" w:sz="4" w:space="0" w:color="000000"/>
        <w:bottom w:val="none" w:sz="4" w:space="0" w:color="000000"/>
        <w:right w:val="none" w:sz="4" w:space="0" w:color="000000"/>
        <w:between w:val="none" w:sz="4" w:space="0" w:color="000000"/>
      </w:pBdr>
      <w:spacing w:after="120" w:line="320" w:lineRule="exact"/>
      <w:ind w:left="720"/>
      <w:contextualSpacing/>
      <w:jc w:val="both"/>
    </w:pPr>
    <w:rPr>
      <w:rFonts w:ascii="Arial" w:eastAsia="Times New Roman" w:hAnsi="Arial"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3</cp:revision>
  <dcterms:created xsi:type="dcterms:W3CDTF">2025-07-21T14:51:00Z</dcterms:created>
  <dcterms:modified xsi:type="dcterms:W3CDTF">2025-07-21T15:18:00Z</dcterms:modified>
</cp:coreProperties>
</file>